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02F4B" w14:textId="77777777" w:rsidR="00B5396E" w:rsidRPr="00B5396E" w:rsidRDefault="00B5396E" w:rsidP="00B5396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PENGARUH INFLASI ASET KREDIT DANA PIHAK KETIGA </w:t>
      </w:r>
    </w:p>
    <w:p w14:paraId="16C3278A" w14:textId="77777777" w:rsidR="00B5396E" w:rsidRPr="00B5396E" w:rsidRDefault="00B5396E" w:rsidP="00B5396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PADA BANK PERKREDITAN RAKYAT TERHADAP</w:t>
      </w:r>
    </w:p>
    <w:p w14:paraId="57D0A40F" w14:textId="77777777" w:rsidR="00B5396E" w:rsidRPr="00B5396E" w:rsidRDefault="00B5396E" w:rsidP="00B5396E">
      <w:pPr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PEREKONOMIAN DI INDONESIA</w:t>
      </w:r>
    </w:p>
    <w:p w14:paraId="7A32C5DD" w14:textId="77777777" w:rsidR="00B5396E" w:rsidRPr="00B5396E" w:rsidRDefault="00B5396E" w:rsidP="00B5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8DD9724" w14:textId="77777777" w:rsidR="00B5396E" w:rsidRPr="00B5396E" w:rsidRDefault="00B5396E" w:rsidP="00B5396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 xml:space="preserve">Tito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>Arfandi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 xml:space="preserve"> Saat</w:t>
      </w:r>
      <w:r w:rsidRPr="00B5396E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  <w:lang w:eastAsia="en-ID"/>
        </w:rPr>
        <w:t>1</w:t>
      </w:r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>Erni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>Febrina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0"/>
          <w:szCs w:val="20"/>
          <w:lang w:eastAsia="en-ID"/>
        </w:rPr>
        <w:t xml:space="preserve"> Harahap</w:t>
      </w:r>
      <w:r w:rsidRPr="00B5396E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  <w:lang w:eastAsia="en-ID"/>
        </w:rPr>
        <w:t>2</w:t>
      </w:r>
    </w:p>
    <w:p w14:paraId="37FBEA43" w14:textId="77777777" w:rsidR="00B5396E" w:rsidRPr="00B5396E" w:rsidRDefault="00B5396E" w:rsidP="00B5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Program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Studi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Pembangunan,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Fakultas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Bisnis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</w:p>
    <w:p w14:paraId="5656F04B" w14:textId="77777777" w:rsidR="00B5396E" w:rsidRPr="00B5396E" w:rsidRDefault="00B5396E" w:rsidP="00B5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Universitas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Bung Hatta</w:t>
      </w:r>
    </w:p>
    <w:p w14:paraId="604D52EC" w14:textId="77777777" w:rsidR="00B5396E" w:rsidRPr="00B5396E" w:rsidRDefault="00B5396E" w:rsidP="00B5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Padang.</w:t>
      </w:r>
    </w:p>
    <w:p w14:paraId="1173143C" w14:textId="77777777" w:rsidR="00B5396E" w:rsidRPr="00B5396E" w:rsidRDefault="00B5396E" w:rsidP="00B5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6DBF5E0" w14:textId="77777777" w:rsidR="00B5396E" w:rsidRPr="00B5396E" w:rsidRDefault="00B5396E" w:rsidP="00B53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Email :</w:t>
      </w:r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hyperlink r:id="rId4" w:history="1">
        <w:r w:rsidRPr="00B539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D"/>
          </w:rPr>
          <w:t>tito99saad@gmail.com</w:t>
        </w:r>
      </w:hyperlink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hyperlink r:id="rId5" w:history="1">
        <w:r w:rsidRPr="00B539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D"/>
          </w:rPr>
          <w:t>erni_fh@yahoo.co.id</w:t>
        </w:r>
      </w:hyperlink>
    </w:p>
    <w:p w14:paraId="3F744F11" w14:textId="77777777" w:rsidR="00B5396E" w:rsidRPr="00B5396E" w:rsidRDefault="00B5396E" w:rsidP="00B5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C0A1DF5" w14:textId="77777777" w:rsidR="00B5396E" w:rsidRPr="00B5396E" w:rsidRDefault="00B5396E" w:rsidP="00B5396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PENDAHULUAN</w:t>
      </w:r>
    </w:p>
    <w:p w14:paraId="5B2C3797" w14:textId="77777777" w:rsidR="00B5396E" w:rsidRPr="00B5396E" w:rsidRDefault="00B5396E" w:rsidP="00B5396E">
      <w:pPr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salah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tolak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ukur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penting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menentukan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keberhasilan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pembangunan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Dimana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menggambarkan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suatu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dampak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nyata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kebijakan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pembangunan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dilaksanakan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Ada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indikator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mengukur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keberhasilan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pembangunan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salah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diukur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Produk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Domestik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Regional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Bruto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(PDRB). Salah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indikator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kondisi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dilihat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kestabilan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Erni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Febrina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H, Wahyu and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Rahmi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2019).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diartikan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terjadi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peningkatan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juga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salah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indikator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penting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menganalisis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semakin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tinggi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tingkat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melumpuhkan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 </w:t>
      </w:r>
    </w:p>
    <w:p w14:paraId="4A5D71CC" w14:textId="77777777" w:rsidR="00B5396E" w:rsidRPr="00B5396E" w:rsidRDefault="00B5396E" w:rsidP="00B5396E">
      <w:pPr>
        <w:spacing w:after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Selain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modal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teknologi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jalur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sumber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penggerak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jangka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panjang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berkembang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Sumber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penggerak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modal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melalui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perbankan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menggerakkan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nasional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sangat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besar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pasalnya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perbankan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berperan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aktivitas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meliputi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sektor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industri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perdagangan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pertanian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perkebunan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jasa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perumahan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sangat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membutuhkan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bank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mitra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transaksi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keuangan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Indriati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2018).</w:t>
      </w:r>
    </w:p>
    <w:p w14:paraId="7DE3860F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PDB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diperlukan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sektor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keuangan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pesat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inklusif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salah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faktor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stabil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dipengaruhi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banyaknya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jumlah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tabungan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masyarakat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jumlah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kredit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disalurkan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(Khairul Anwar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Amri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2017) </w:t>
      </w:r>
    </w:p>
    <w:p w14:paraId="1C9ADD52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METODE PENELITIAN</w:t>
      </w:r>
    </w:p>
    <w:p w14:paraId="7C294D9B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ab/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Metode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metode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deskriptif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kuantitatif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analisis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regresi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panel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gabungan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antara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time series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runtun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dimulai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2014 - 2020 dan data </w:t>
      </w:r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cross section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silangan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yaitu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34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provinsi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jumlah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sampel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238data.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Jenis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digunakan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yaitu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produk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domestik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regional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bruto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(PDRB)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milyar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aset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kredit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Bank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Perkreditan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Rakyat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sumber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berasal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BPS dan OJK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publikasi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2020.</w:t>
      </w:r>
    </w:p>
    <w:p w14:paraId="579323B3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HASIL DAN PEMBAHASAN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891"/>
        <w:gridCol w:w="932"/>
        <w:gridCol w:w="979"/>
        <w:gridCol w:w="851"/>
      </w:tblGrid>
      <w:tr w:rsidR="00B5396E" w:rsidRPr="00B5396E" w14:paraId="08021F74" w14:textId="77777777" w:rsidTr="00B5396E">
        <w:trPr>
          <w:trHeight w:val="2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bottom"/>
            <w:hideMark/>
          </w:tcPr>
          <w:p w14:paraId="42CD758D" w14:textId="77777777" w:rsidR="00B5396E" w:rsidRPr="00B5396E" w:rsidRDefault="00B5396E" w:rsidP="00B5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  <w:hideMark/>
          </w:tcPr>
          <w:p w14:paraId="5F236ECC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Coefficient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  <w:hideMark/>
          </w:tcPr>
          <w:p w14:paraId="6D5E7A5F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  <w:hideMark/>
          </w:tcPr>
          <w:p w14:paraId="5C898ECA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t-Statistic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14:paraId="2437B406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Prob.  </w:t>
            </w:r>
          </w:p>
        </w:tc>
      </w:tr>
      <w:tr w:rsidR="00B5396E" w:rsidRPr="00B5396E" w14:paraId="0FF3D364" w14:textId="77777777" w:rsidTr="00B5396E">
        <w:trPr>
          <w:trHeight w:val="90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6" w:space="0" w:color="000000"/>
            </w:tcBorders>
            <w:vAlign w:val="bottom"/>
            <w:hideMark/>
          </w:tcPr>
          <w:p w14:paraId="547D4D60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660E4A78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4D4BBB54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6D5E6845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14:paraId="59D30857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50C02237" w14:textId="77777777" w:rsidTr="00B5396E">
        <w:trPr>
          <w:trHeight w:val="135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</w:tcBorders>
            <w:vAlign w:val="bottom"/>
            <w:hideMark/>
          </w:tcPr>
          <w:p w14:paraId="18015861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6A84BCC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1707A53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31171E1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4" w:space="0" w:color="000000"/>
            </w:tcBorders>
            <w:vAlign w:val="bottom"/>
            <w:hideMark/>
          </w:tcPr>
          <w:p w14:paraId="5F4AB9A0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1F192CD4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75ED71D1" w14:textId="77777777" w:rsidR="00B5396E" w:rsidRPr="00B5396E" w:rsidRDefault="00B5396E" w:rsidP="00B5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</w:t>
            </w:r>
          </w:p>
        </w:tc>
        <w:tc>
          <w:tcPr>
            <w:tcW w:w="0" w:type="auto"/>
            <w:vAlign w:val="bottom"/>
            <w:hideMark/>
          </w:tcPr>
          <w:p w14:paraId="313456F6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10.73548</w:t>
            </w:r>
          </w:p>
        </w:tc>
        <w:tc>
          <w:tcPr>
            <w:tcW w:w="0" w:type="auto"/>
            <w:vAlign w:val="bottom"/>
            <w:hideMark/>
          </w:tcPr>
          <w:p w14:paraId="3FF8F4E8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0.133179</w:t>
            </w:r>
          </w:p>
        </w:tc>
        <w:tc>
          <w:tcPr>
            <w:tcW w:w="0" w:type="auto"/>
            <w:vAlign w:val="bottom"/>
            <w:hideMark/>
          </w:tcPr>
          <w:p w14:paraId="4CD84471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80.60959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1FC68CED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0.0000</w:t>
            </w:r>
          </w:p>
        </w:tc>
      </w:tr>
      <w:tr w:rsidR="00B5396E" w:rsidRPr="00B5396E" w14:paraId="6ADD55A7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23D9747E" w14:textId="77777777" w:rsidR="00B5396E" w:rsidRPr="00B5396E" w:rsidRDefault="00B5396E" w:rsidP="00B5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LOG(INFLASI)</w:t>
            </w:r>
          </w:p>
        </w:tc>
        <w:tc>
          <w:tcPr>
            <w:tcW w:w="0" w:type="auto"/>
            <w:vAlign w:val="bottom"/>
            <w:hideMark/>
          </w:tcPr>
          <w:p w14:paraId="6856D771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-0.033716</w:t>
            </w:r>
          </w:p>
        </w:tc>
        <w:tc>
          <w:tcPr>
            <w:tcW w:w="0" w:type="auto"/>
            <w:vAlign w:val="bottom"/>
            <w:hideMark/>
          </w:tcPr>
          <w:p w14:paraId="669409CD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0.004377</w:t>
            </w:r>
          </w:p>
        </w:tc>
        <w:tc>
          <w:tcPr>
            <w:tcW w:w="0" w:type="auto"/>
            <w:vAlign w:val="bottom"/>
            <w:hideMark/>
          </w:tcPr>
          <w:p w14:paraId="5848F20F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-7.702774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017B1B92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0.0000</w:t>
            </w:r>
          </w:p>
        </w:tc>
      </w:tr>
      <w:tr w:rsidR="00B5396E" w:rsidRPr="00B5396E" w14:paraId="714489C1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482BC88D" w14:textId="77777777" w:rsidR="00B5396E" w:rsidRPr="00B5396E" w:rsidRDefault="00B5396E" w:rsidP="00B5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LOG(ASET)</w:t>
            </w:r>
          </w:p>
        </w:tc>
        <w:tc>
          <w:tcPr>
            <w:tcW w:w="0" w:type="auto"/>
            <w:vAlign w:val="bottom"/>
            <w:hideMark/>
          </w:tcPr>
          <w:p w14:paraId="52B9A95B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-0.006241</w:t>
            </w:r>
          </w:p>
        </w:tc>
        <w:tc>
          <w:tcPr>
            <w:tcW w:w="0" w:type="auto"/>
            <w:vAlign w:val="bottom"/>
            <w:hideMark/>
          </w:tcPr>
          <w:p w14:paraId="37A2E39F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0.010250</w:t>
            </w:r>
          </w:p>
        </w:tc>
        <w:tc>
          <w:tcPr>
            <w:tcW w:w="0" w:type="auto"/>
            <w:vAlign w:val="bottom"/>
            <w:hideMark/>
          </w:tcPr>
          <w:p w14:paraId="7F032340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-0.608907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366C3BF2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0.5433</w:t>
            </w:r>
          </w:p>
        </w:tc>
      </w:tr>
      <w:tr w:rsidR="00B5396E" w:rsidRPr="00B5396E" w14:paraId="1DBCF9C0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6D659EF5" w14:textId="77777777" w:rsidR="00B5396E" w:rsidRPr="00B5396E" w:rsidRDefault="00B5396E" w:rsidP="00B5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LOG(KREDIT)</w:t>
            </w:r>
          </w:p>
        </w:tc>
        <w:tc>
          <w:tcPr>
            <w:tcW w:w="0" w:type="auto"/>
            <w:vAlign w:val="bottom"/>
            <w:hideMark/>
          </w:tcPr>
          <w:p w14:paraId="6E9001EE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0.119695</w:t>
            </w:r>
          </w:p>
        </w:tc>
        <w:tc>
          <w:tcPr>
            <w:tcW w:w="0" w:type="auto"/>
            <w:vAlign w:val="bottom"/>
            <w:hideMark/>
          </w:tcPr>
          <w:p w14:paraId="25A6FB14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0.045163</w:t>
            </w:r>
          </w:p>
        </w:tc>
        <w:tc>
          <w:tcPr>
            <w:tcW w:w="0" w:type="auto"/>
            <w:vAlign w:val="bottom"/>
            <w:hideMark/>
          </w:tcPr>
          <w:p w14:paraId="11FAEC3C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2.650301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62457596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0.0087</w:t>
            </w:r>
          </w:p>
        </w:tc>
      </w:tr>
      <w:tr w:rsidR="00B5396E" w:rsidRPr="00B5396E" w14:paraId="3E7308D1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75C5F0B2" w14:textId="77777777" w:rsidR="00B5396E" w:rsidRPr="00B5396E" w:rsidRDefault="00B5396E" w:rsidP="00B5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LOG(DPK)</w:t>
            </w:r>
          </w:p>
        </w:tc>
        <w:tc>
          <w:tcPr>
            <w:tcW w:w="0" w:type="auto"/>
            <w:vAlign w:val="bottom"/>
            <w:hideMark/>
          </w:tcPr>
          <w:p w14:paraId="45AFD479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0.064625</w:t>
            </w:r>
          </w:p>
        </w:tc>
        <w:tc>
          <w:tcPr>
            <w:tcW w:w="0" w:type="auto"/>
            <w:vAlign w:val="bottom"/>
            <w:hideMark/>
          </w:tcPr>
          <w:p w14:paraId="057710E2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0.041094</w:t>
            </w:r>
          </w:p>
        </w:tc>
        <w:tc>
          <w:tcPr>
            <w:tcW w:w="0" w:type="auto"/>
            <w:vAlign w:val="bottom"/>
            <w:hideMark/>
          </w:tcPr>
          <w:p w14:paraId="43CF694C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1.572622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07074F1F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0.1174</w:t>
            </w:r>
          </w:p>
        </w:tc>
      </w:tr>
      <w:tr w:rsidR="00B5396E" w:rsidRPr="00B5396E" w14:paraId="21E9C184" w14:textId="77777777" w:rsidTr="00B5396E">
        <w:trPr>
          <w:trHeight w:val="90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6" w:space="0" w:color="000000"/>
            </w:tcBorders>
            <w:vAlign w:val="bottom"/>
            <w:hideMark/>
          </w:tcPr>
          <w:p w14:paraId="5E260860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741C2B88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77BEE661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71991FAE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14:paraId="1A614D93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207D2DCB" w14:textId="77777777" w:rsidTr="00B5396E">
        <w:trPr>
          <w:trHeight w:val="135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</w:tcBorders>
            <w:vAlign w:val="bottom"/>
            <w:hideMark/>
          </w:tcPr>
          <w:p w14:paraId="1FB1B8E0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00E2DA4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AF98BE6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278CD8D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4" w:space="0" w:color="000000"/>
            </w:tcBorders>
            <w:vAlign w:val="bottom"/>
            <w:hideMark/>
          </w:tcPr>
          <w:p w14:paraId="3F7256EA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505BCBC4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7D5295F7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4502109" w14:textId="77777777" w:rsidR="00B5396E" w:rsidRPr="00B5396E" w:rsidRDefault="00B5396E" w:rsidP="00B5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Effects Specification</w:t>
            </w:r>
          </w:p>
        </w:tc>
        <w:tc>
          <w:tcPr>
            <w:tcW w:w="0" w:type="auto"/>
            <w:vAlign w:val="bottom"/>
            <w:hideMark/>
          </w:tcPr>
          <w:p w14:paraId="71103D4B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170C5D16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08E072F8" w14:textId="77777777" w:rsidTr="00B5396E">
        <w:trPr>
          <w:trHeight w:val="90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6" w:space="0" w:color="000000"/>
            </w:tcBorders>
            <w:vAlign w:val="bottom"/>
            <w:hideMark/>
          </w:tcPr>
          <w:p w14:paraId="6CA4EF93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0E87BE49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089BAEF2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579324C6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14:paraId="42F695DF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21EF7591" w14:textId="77777777" w:rsidTr="00B5396E">
        <w:trPr>
          <w:trHeight w:val="135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</w:tcBorders>
            <w:vAlign w:val="bottom"/>
            <w:hideMark/>
          </w:tcPr>
          <w:p w14:paraId="25A7373D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AFED9E8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DFA5C58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48B56540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4" w:space="0" w:color="000000"/>
            </w:tcBorders>
            <w:vAlign w:val="bottom"/>
            <w:hideMark/>
          </w:tcPr>
          <w:p w14:paraId="71FA1473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11484779" w14:textId="77777777" w:rsidTr="00B5396E">
        <w:trPr>
          <w:trHeight w:val="225"/>
          <w:jc w:val="center"/>
        </w:trPr>
        <w:tc>
          <w:tcPr>
            <w:tcW w:w="0" w:type="auto"/>
            <w:gridSpan w:val="4"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14:paraId="7A7E03D4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Cross-section fixed (dummy variables)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4F65D925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50E75476" w14:textId="77777777" w:rsidTr="00B5396E">
        <w:trPr>
          <w:trHeight w:val="90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6" w:space="0" w:color="000000"/>
            </w:tcBorders>
            <w:vAlign w:val="bottom"/>
            <w:hideMark/>
          </w:tcPr>
          <w:p w14:paraId="1CEA9712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6EB24429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47EDC2B1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14:paraId="0752EC6D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14:paraId="1344C933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38D02F84" w14:textId="77777777" w:rsidTr="00B5396E">
        <w:trPr>
          <w:trHeight w:val="135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</w:tcBorders>
            <w:vAlign w:val="bottom"/>
            <w:hideMark/>
          </w:tcPr>
          <w:p w14:paraId="55A00FC7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88A281F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7321D81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8A2BB9A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4" w:space="0" w:color="000000"/>
            </w:tcBorders>
            <w:vAlign w:val="bottom"/>
            <w:hideMark/>
          </w:tcPr>
          <w:p w14:paraId="6603BF56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  <w:tr w:rsidR="00B5396E" w:rsidRPr="00B5396E" w14:paraId="3328EB2D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25BBBCA9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R-squared</w:t>
            </w:r>
          </w:p>
        </w:tc>
        <w:tc>
          <w:tcPr>
            <w:tcW w:w="0" w:type="auto"/>
            <w:vAlign w:val="bottom"/>
            <w:hideMark/>
          </w:tcPr>
          <w:p w14:paraId="2E4173D7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0.997667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2005CDC8" w14:textId="77777777" w:rsidR="00B5396E" w:rsidRPr="00B5396E" w:rsidRDefault="00B5396E" w:rsidP="00B5396E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   Mean dependent var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19B440DC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11.89608</w:t>
            </w:r>
          </w:p>
        </w:tc>
      </w:tr>
      <w:tr w:rsidR="00B5396E" w:rsidRPr="00B5396E" w14:paraId="533E01B7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43D2DA1D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Adjusted R-squared</w:t>
            </w:r>
          </w:p>
        </w:tc>
        <w:tc>
          <w:tcPr>
            <w:tcW w:w="0" w:type="auto"/>
            <w:vAlign w:val="bottom"/>
            <w:hideMark/>
          </w:tcPr>
          <w:p w14:paraId="0B06704B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0.997224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110E93FD" w14:textId="77777777" w:rsidR="00B5396E" w:rsidRPr="00B5396E" w:rsidRDefault="00B5396E" w:rsidP="00B5396E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   S.D. dependent var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775000DC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1.151104</w:t>
            </w:r>
          </w:p>
        </w:tc>
      </w:tr>
      <w:tr w:rsidR="00B5396E" w:rsidRPr="00B5396E" w14:paraId="6F747605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0CD4A4D2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S.E. of regression</w:t>
            </w:r>
          </w:p>
        </w:tc>
        <w:tc>
          <w:tcPr>
            <w:tcW w:w="0" w:type="auto"/>
            <w:vAlign w:val="bottom"/>
            <w:hideMark/>
          </w:tcPr>
          <w:p w14:paraId="54C3CFE0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0.060646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770A9811" w14:textId="77777777" w:rsidR="00B5396E" w:rsidRPr="00B5396E" w:rsidRDefault="00B5396E" w:rsidP="00B5396E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   Akaike info criterion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6C78C041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-2.619377</w:t>
            </w:r>
          </w:p>
        </w:tc>
      </w:tr>
      <w:tr w:rsidR="00B5396E" w:rsidRPr="00B5396E" w14:paraId="4E09F04C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61E09A1F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Sum squared </w:t>
            </w:r>
            <w:proofErr w:type="spellStart"/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resid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0857E4B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0.717204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1C4AAD5C" w14:textId="77777777" w:rsidR="00B5396E" w:rsidRPr="00B5396E" w:rsidRDefault="00B5396E" w:rsidP="00B5396E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   Schwarz criterion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77E9590B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-2.056546</w:t>
            </w:r>
          </w:p>
        </w:tc>
      </w:tr>
      <w:tr w:rsidR="00B5396E" w:rsidRPr="00B5396E" w14:paraId="5A7B2FCC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6E54680D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Log likelihood</w:t>
            </w:r>
          </w:p>
        </w:tc>
        <w:tc>
          <w:tcPr>
            <w:tcW w:w="0" w:type="auto"/>
            <w:vAlign w:val="bottom"/>
            <w:hideMark/>
          </w:tcPr>
          <w:p w14:paraId="3728AFC3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343.1574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2EEB9B31" w14:textId="77777777" w:rsidR="00B5396E" w:rsidRPr="00B5396E" w:rsidRDefault="00B5396E" w:rsidP="00B5396E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    Hannan-Quinn </w:t>
            </w:r>
            <w:proofErr w:type="spellStart"/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criter</w:t>
            </w:r>
            <w:proofErr w:type="spellEnd"/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.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1FAD67FE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-2.392418</w:t>
            </w:r>
          </w:p>
        </w:tc>
      </w:tr>
      <w:tr w:rsidR="00B5396E" w:rsidRPr="00B5396E" w14:paraId="13D8A530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</w:tcBorders>
            <w:vAlign w:val="bottom"/>
            <w:hideMark/>
          </w:tcPr>
          <w:p w14:paraId="42E58B9D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F-statistic</w:t>
            </w:r>
          </w:p>
        </w:tc>
        <w:tc>
          <w:tcPr>
            <w:tcW w:w="0" w:type="auto"/>
            <w:vAlign w:val="bottom"/>
            <w:hideMark/>
          </w:tcPr>
          <w:p w14:paraId="7B29CC17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2253.684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0D878831" w14:textId="77777777" w:rsidR="00B5396E" w:rsidRPr="00B5396E" w:rsidRDefault="00B5396E" w:rsidP="00B5396E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   Durbin-Watson stat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bottom"/>
            <w:hideMark/>
          </w:tcPr>
          <w:p w14:paraId="238080C4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1.426355</w:t>
            </w:r>
          </w:p>
        </w:tc>
      </w:tr>
      <w:tr w:rsidR="00B5396E" w:rsidRPr="00B5396E" w14:paraId="30922164" w14:textId="77777777" w:rsidTr="00B5396E">
        <w:trPr>
          <w:trHeight w:val="225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bottom"/>
            <w:hideMark/>
          </w:tcPr>
          <w:p w14:paraId="7945EEF0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Prob(F-statistic)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14:paraId="0AEC587D" w14:textId="77777777" w:rsidR="00B5396E" w:rsidRPr="00B5396E" w:rsidRDefault="00B5396E" w:rsidP="00B5396E">
            <w:pPr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539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0.000000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14:paraId="280B6B15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bottom"/>
            <w:hideMark/>
          </w:tcPr>
          <w:p w14:paraId="5917DCE5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215FC" w14:textId="77777777" w:rsidR="00B5396E" w:rsidRPr="00B5396E" w:rsidRDefault="00B5396E" w:rsidP="00B53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</w:tr>
    </w:tbl>
    <w:p w14:paraId="7117BFAF" w14:textId="77777777" w:rsidR="00B5396E" w:rsidRPr="00B5396E" w:rsidRDefault="00B5396E" w:rsidP="00B5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7218BEB" w14:textId="77777777" w:rsidR="00B5396E" w:rsidRPr="00B5396E" w:rsidRDefault="00B5396E" w:rsidP="00B5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A.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Pengaruh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Indonesia</w:t>
      </w:r>
    </w:p>
    <w:p w14:paraId="1D018D37" w14:textId="77777777" w:rsidR="00B5396E" w:rsidRPr="00B5396E" w:rsidRDefault="00B5396E" w:rsidP="00B5396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ab/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pengolahan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dilihat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variabel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nilai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probabilitas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sebesar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0,0000 &lt; alpha 0.05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pesen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keputusan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>0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ditolak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>a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diterima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variabel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Indonesia.</w:t>
      </w:r>
    </w:p>
    <w:p w14:paraId="5F933E76" w14:textId="77777777" w:rsidR="00B5396E" w:rsidRPr="00B5396E" w:rsidRDefault="00B5396E" w:rsidP="00B53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B.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Pengaruh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Aset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BPR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Indonesia</w:t>
      </w:r>
    </w:p>
    <w:p w14:paraId="2ED019A6" w14:textId="77777777" w:rsidR="00B5396E" w:rsidRPr="00B5396E" w:rsidRDefault="00B5396E" w:rsidP="00B5396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ab/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olahan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dilihat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variabel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aset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nilai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probabilitas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0.5433 &gt; alpha 0.05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keputusannya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>0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diterima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>a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ditolak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artinyaaset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BPR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berhubungan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negatif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signifikan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Indonesia.</w:t>
      </w:r>
    </w:p>
    <w:p w14:paraId="0074B48C" w14:textId="77777777" w:rsidR="00B5396E" w:rsidRPr="00B5396E" w:rsidRDefault="00B5396E" w:rsidP="00B5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C.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Pengaruh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Kredit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Bank BPR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Indonesia </w:t>
      </w:r>
    </w:p>
    <w:p w14:paraId="183F1E07" w14:textId="77777777" w:rsidR="00B5396E" w:rsidRPr="00B5396E" w:rsidRDefault="00B5396E" w:rsidP="00B5396E">
      <w:pPr>
        <w:spacing w:after="20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ab/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olahan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dilihat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variabel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kredit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nilai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probabilitas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0.0087 &lt; alpha 0.05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keputusan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>0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ditolak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 xml:space="preserve">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diterima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kredit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BPR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berhubungan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positif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signifikan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Indonesia.</w:t>
      </w:r>
    </w:p>
    <w:p w14:paraId="486FAABD" w14:textId="77777777" w:rsidR="00B5396E" w:rsidRPr="00B5396E" w:rsidRDefault="00B5396E" w:rsidP="00B5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EF602D7" w14:textId="77777777" w:rsidR="00B5396E" w:rsidRPr="00B5396E" w:rsidRDefault="00B5396E" w:rsidP="00B5396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D.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Pengaruh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Dana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Pihak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Ketiga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BPR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Indonesia</w:t>
      </w:r>
    </w:p>
    <w:p w14:paraId="3ED7E319" w14:textId="77777777" w:rsidR="00B5396E" w:rsidRPr="00B5396E" w:rsidRDefault="00B5396E" w:rsidP="00B5396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ab/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olahan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dilihat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variabel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nilai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probabilitas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0.1174 &gt; alpha 0.05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persen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keputusan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>0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diterima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</w:t>
      </w:r>
      <w:r w:rsidRPr="00B5396E">
        <w:rPr>
          <w:rFonts w:ascii="Times New Roman" w:eastAsia="Times New Roman" w:hAnsi="Times New Roman" w:cs="Times New Roman"/>
          <w:color w:val="000000"/>
          <w:sz w:val="14"/>
          <w:szCs w:val="14"/>
          <w:vertAlign w:val="subscript"/>
          <w:lang w:eastAsia="en-ID"/>
        </w:rPr>
        <w:t>a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ditolak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BPR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berhubungan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positif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tetapi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signifikan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Indonesia.</w:t>
      </w:r>
    </w:p>
    <w:p w14:paraId="7B300C9F" w14:textId="77777777" w:rsidR="00B5396E" w:rsidRPr="00B5396E" w:rsidRDefault="00B5396E" w:rsidP="00B5396E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KESIMPULAN</w:t>
      </w:r>
    </w:p>
    <w:p w14:paraId="7D612818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panel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tentang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aset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bank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perkreditan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rakyat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(BPR)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kredit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BPR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pihak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ketiga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BPR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berpengaruh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perekonomian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Indonesia.</w:t>
      </w:r>
    </w:p>
    <w:p w14:paraId="134C1622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UCAPAN TERIMAKASIH</w:t>
      </w:r>
    </w:p>
    <w:p w14:paraId="68F9E21A" w14:textId="77777777" w:rsidR="00B5396E" w:rsidRPr="00B5396E" w:rsidRDefault="00B5396E" w:rsidP="00B5396E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Alhamdulillah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bersyukur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SWT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rahmat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karuniaNya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sehingga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penulis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menyelesaikan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skripsi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tulisan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Ucapan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terimakasih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penulis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sampaikan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orang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berkat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doa-doa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Ayah dan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ibu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selalu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panjatkan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setiap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sujudnya.Terimakasih</w:t>
      </w:r>
      <w:proofErr w:type="spellEnd"/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dosen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pembimbing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penulis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yaitu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Ibu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Dr.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Erni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Febrina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Harahap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S.E.,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M.Si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sabar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mendidik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mahasiswanya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juga civitas academic program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studi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Pembangunan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kenangan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selama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berkuliah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Universitas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Bung Hatta.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Ucapan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terimakasih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sebesar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–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besarnya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kepada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Bank Indonesia (BI Institute) yang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telah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memberikan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dana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bantuan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penelitian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melalui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Program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Bantuan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Penelitian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(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Banlit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), Badan 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lastRenderedPageBreak/>
        <w:t xml:space="preserve">Pusat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Statistik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(BPS),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Otoritas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Jasa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Keuangan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(OJK)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telah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memudahkan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penulis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 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dalam</w:t>
      </w:r>
      <w:proofErr w:type="spellEnd"/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>pengumpulan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D"/>
        </w:rPr>
        <w:t xml:space="preserve"> data. </w:t>
      </w:r>
    </w:p>
    <w:p w14:paraId="5563F1C9" w14:textId="77777777" w:rsidR="00B5396E" w:rsidRPr="00B5396E" w:rsidRDefault="00B5396E" w:rsidP="00B5396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ID"/>
        </w:rPr>
        <w:t>DAFTAR PUSTAKA</w:t>
      </w:r>
    </w:p>
    <w:p w14:paraId="763F8CE6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Anwar, K., &amp;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Amri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A.(</w:t>
      </w:r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2017</w:t>
      </w:r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).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Pengaruh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Inklusi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Keuangan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PDB Indonesia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 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Jurnal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Ilmiah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Mahasiswa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Pembangunan, 2(3), 454-462.</w:t>
      </w:r>
    </w:p>
    <w:p w14:paraId="7F0D4E6F" w14:textId="77777777" w:rsidR="00B5396E" w:rsidRPr="00B5396E" w:rsidRDefault="00B5396E" w:rsidP="00B5396E">
      <w:pPr>
        <w:spacing w:after="20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Harahap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Erni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Febrina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Wahyu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Ramadhani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and Siti </w:t>
      </w:r>
      <w:proofErr w:type="spellStart"/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Rahmi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.(</w:t>
      </w:r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2019).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Pengaruh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Volatility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Kurs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, Bi 7 Day Repo Rate Dan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Inflasi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Terhadap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Jumlah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Uang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Beredar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Di Indonesia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 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Jurnal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Menara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Kajian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Ilmiah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Bidang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5, no.3.</w:t>
      </w:r>
    </w:p>
    <w:p w14:paraId="3C86F455" w14:textId="77777777" w:rsidR="00B5396E" w:rsidRPr="00B5396E" w:rsidRDefault="00B5396E" w:rsidP="00B5396E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Indriati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.(</w:t>
      </w:r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2018).</w:t>
      </w:r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‘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AnalisisPenyaluran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Kredit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Modal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Kerja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Pada Bank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Umum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 di Indonesia</w:t>
      </w: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’,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Jurnal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Ilmu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2, pp. 529–540.</w:t>
      </w:r>
    </w:p>
    <w:p w14:paraId="20582C09" w14:textId="77777777" w:rsidR="00B5396E" w:rsidRPr="00B5396E" w:rsidRDefault="00B5396E" w:rsidP="00B5396E">
      <w:pPr>
        <w:spacing w:after="24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N. Gregory </w:t>
      </w:r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Mankiw.(</w:t>
      </w:r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2006).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Makroekonomi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>terj</w:t>
      </w:r>
      <w:proofErr w:type="spellEnd"/>
      <w:r w:rsidRPr="00B539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D"/>
        </w:rPr>
        <w:t xml:space="preserve">,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Fitria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Liza dan Imam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Nurmawan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Penerbit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Erlangga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 Jakarta.</w:t>
      </w:r>
    </w:p>
    <w:p w14:paraId="719E0FDC" w14:textId="77777777" w:rsidR="00B5396E" w:rsidRPr="00B5396E" w:rsidRDefault="00B5396E" w:rsidP="00B5396E">
      <w:pPr>
        <w:spacing w:after="24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Todaro, M.P. dan Smith, </w:t>
      </w:r>
      <w:proofErr w:type="gram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S.C.(</w:t>
      </w:r>
      <w:proofErr w:type="gram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2006). Pembangunan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Jilid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I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Edisi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Kesembilan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Haris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Munandar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penerjemah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). </w:t>
      </w:r>
      <w:proofErr w:type="spellStart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Erlangga</w:t>
      </w:r>
      <w:proofErr w:type="spellEnd"/>
      <w:r w:rsidRPr="00B5396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Jakarta.</w:t>
      </w:r>
    </w:p>
    <w:p w14:paraId="57D36CC5" w14:textId="77777777" w:rsidR="00F739F7" w:rsidRDefault="00F739F7">
      <w:bookmarkStart w:id="0" w:name="_GoBack"/>
      <w:bookmarkEnd w:id="0"/>
    </w:p>
    <w:sectPr w:rsidR="00F73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6E"/>
    <w:rsid w:val="00B5396E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7F38"/>
  <w15:chartTrackingRefBased/>
  <w15:docId w15:val="{81D7878E-0288-4D0A-85EB-B40729A9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ni_fh@yahoo.co.id" TargetMode="External"/><Relationship Id="rId4" Type="http://schemas.openxmlformats.org/officeDocument/2006/relationships/hyperlink" Target="mailto:tito99sa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2022-02-23T06:46:00Z</dcterms:created>
  <dcterms:modified xsi:type="dcterms:W3CDTF">2022-02-23T06:47:00Z</dcterms:modified>
</cp:coreProperties>
</file>