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7B" w:rsidRPr="0096271B" w:rsidRDefault="001F457B" w:rsidP="002F5D2D">
      <w:pPr>
        <w:spacing w:after="0"/>
        <w:jc w:val="center"/>
        <w:rPr>
          <w:b/>
          <w:szCs w:val="24"/>
        </w:rPr>
      </w:pPr>
      <w:proofErr w:type="spellStart"/>
      <w:r w:rsidRPr="0096271B">
        <w:rPr>
          <w:b/>
          <w:szCs w:val="24"/>
        </w:rPr>
        <w:t>Analisis</w:t>
      </w:r>
      <w:proofErr w:type="spellEnd"/>
      <w:r w:rsidRPr="0096271B">
        <w:rPr>
          <w:b/>
          <w:szCs w:val="24"/>
        </w:rPr>
        <w:t xml:space="preserve"> </w:t>
      </w:r>
      <w:proofErr w:type="spellStart"/>
      <w:r w:rsidRPr="0096271B">
        <w:rPr>
          <w:b/>
          <w:szCs w:val="24"/>
        </w:rPr>
        <w:t>Kinerja</w:t>
      </w:r>
      <w:proofErr w:type="spellEnd"/>
      <w:r w:rsidRPr="0096271B">
        <w:rPr>
          <w:b/>
          <w:szCs w:val="24"/>
        </w:rPr>
        <w:t xml:space="preserve"> Perusahaan </w:t>
      </w:r>
      <w:proofErr w:type="spellStart"/>
      <w:proofErr w:type="gramStart"/>
      <w:r w:rsidRPr="0096271B">
        <w:rPr>
          <w:b/>
          <w:szCs w:val="24"/>
        </w:rPr>
        <w:t>Ko</w:t>
      </w:r>
      <w:r w:rsidRPr="0096271B">
        <w:rPr>
          <w:b/>
          <w:szCs w:val="24"/>
        </w:rPr>
        <w:t>n</w:t>
      </w:r>
      <w:r w:rsidRPr="0096271B">
        <w:rPr>
          <w:b/>
          <w:szCs w:val="24"/>
        </w:rPr>
        <w:t>struksi</w:t>
      </w:r>
      <w:proofErr w:type="spellEnd"/>
      <w:r w:rsidRPr="0096271B">
        <w:rPr>
          <w:b/>
          <w:szCs w:val="24"/>
        </w:rPr>
        <w:t xml:space="preserve">  di</w:t>
      </w:r>
      <w:proofErr w:type="gramEnd"/>
      <w:r w:rsidRPr="0096271B">
        <w:rPr>
          <w:b/>
          <w:szCs w:val="24"/>
        </w:rPr>
        <w:t xml:space="preserve"> Indon</w:t>
      </w:r>
      <w:r w:rsidRPr="0096271B">
        <w:rPr>
          <w:b/>
          <w:szCs w:val="24"/>
        </w:rPr>
        <w:t>e</w:t>
      </w:r>
      <w:r w:rsidRPr="0096271B">
        <w:rPr>
          <w:b/>
          <w:szCs w:val="24"/>
        </w:rPr>
        <w:t>sia</w:t>
      </w:r>
    </w:p>
    <w:p w:rsidR="001F457B" w:rsidRPr="0096271B" w:rsidRDefault="001F457B" w:rsidP="002F5D2D">
      <w:pPr>
        <w:spacing w:after="0"/>
        <w:jc w:val="center"/>
        <w:rPr>
          <w:b/>
          <w:szCs w:val="24"/>
        </w:rPr>
      </w:pPr>
      <w:r w:rsidRPr="0096271B">
        <w:rPr>
          <w:b/>
          <w:szCs w:val="24"/>
        </w:rPr>
        <w:t xml:space="preserve">Yang </w:t>
      </w:r>
      <w:proofErr w:type="spellStart"/>
      <w:r w:rsidRPr="0096271B">
        <w:rPr>
          <w:b/>
          <w:szCs w:val="24"/>
        </w:rPr>
        <w:t>Terdaftar</w:t>
      </w:r>
      <w:proofErr w:type="spellEnd"/>
      <w:r w:rsidRPr="0096271B">
        <w:rPr>
          <w:b/>
          <w:szCs w:val="24"/>
        </w:rPr>
        <w:t xml:space="preserve"> di BEI </w:t>
      </w:r>
      <w:proofErr w:type="spellStart"/>
      <w:r w:rsidRPr="0096271B">
        <w:rPr>
          <w:b/>
          <w:szCs w:val="24"/>
        </w:rPr>
        <w:t>Tahun</w:t>
      </w:r>
      <w:proofErr w:type="spellEnd"/>
      <w:r w:rsidRPr="0096271B">
        <w:rPr>
          <w:b/>
          <w:szCs w:val="24"/>
        </w:rPr>
        <w:t xml:space="preserve"> 2018-2020</w:t>
      </w:r>
    </w:p>
    <w:p w:rsidR="009C705A" w:rsidRPr="002F5D2D" w:rsidRDefault="001F457B" w:rsidP="002F5D2D">
      <w:pPr>
        <w:jc w:val="center"/>
        <w:rPr>
          <w:sz w:val="22"/>
        </w:rPr>
      </w:pPr>
      <w:proofErr w:type="spellStart"/>
      <w:r w:rsidRPr="002F5D2D">
        <w:rPr>
          <w:sz w:val="22"/>
        </w:rPr>
        <w:t>Viona</w:t>
      </w:r>
      <w:proofErr w:type="spellEnd"/>
      <w:r w:rsidRPr="002F5D2D">
        <w:rPr>
          <w:sz w:val="22"/>
        </w:rPr>
        <w:t xml:space="preserve"> </w:t>
      </w:r>
      <w:proofErr w:type="spellStart"/>
      <w:r w:rsidRPr="002F5D2D">
        <w:rPr>
          <w:sz w:val="22"/>
        </w:rPr>
        <w:t>Rifi</w:t>
      </w:r>
      <w:proofErr w:type="spellEnd"/>
      <w:r w:rsidRPr="002F5D2D">
        <w:rPr>
          <w:sz w:val="22"/>
        </w:rPr>
        <w:t xml:space="preserve"> </w:t>
      </w:r>
      <w:proofErr w:type="gramStart"/>
      <w:r w:rsidRPr="002F5D2D">
        <w:rPr>
          <w:sz w:val="22"/>
        </w:rPr>
        <w:t>Aggra</w:t>
      </w:r>
      <w:r w:rsidRPr="002F5D2D">
        <w:rPr>
          <w:sz w:val="22"/>
          <w:vertAlign w:val="superscript"/>
        </w:rPr>
        <w:t>1</w:t>
      </w:r>
      <w:r w:rsidRPr="002F5D2D">
        <w:rPr>
          <w:sz w:val="22"/>
        </w:rPr>
        <w:t xml:space="preserve">  </w:t>
      </w:r>
      <w:proofErr w:type="spellStart"/>
      <w:r w:rsidRPr="002F5D2D">
        <w:rPr>
          <w:sz w:val="22"/>
        </w:rPr>
        <w:t>Erni</w:t>
      </w:r>
      <w:proofErr w:type="spellEnd"/>
      <w:proofErr w:type="gramEnd"/>
      <w:r w:rsidRPr="002F5D2D">
        <w:rPr>
          <w:sz w:val="22"/>
        </w:rPr>
        <w:t xml:space="preserve"> </w:t>
      </w:r>
      <w:proofErr w:type="spellStart"/>
      <w:r w:rsidRPr="002F5D2D">
        <w:rPr>
          <w:sz w:val="22"/>
        </w:rPr>
        <w:t>Febrina</w:t>
      </w:r>
      <w:proofErr w:type="spellEnd"/>
      <w:r w:rsidRPr="002F5D2D">
        <w:rPr>
          <w:sz w:val="22"/>
        </w:rPr>
        <w:t xml:space="preserve"> Har</w:t>
      </w:r>
      <w:r w:rsidRPr="002F5D2D">
        <w:rPr>
          <w:sz w:val="22"/>
        </w:rPr>
        <w:t>a</w:t>
      </w:r>
      <w:r w:rsidRPr="002F5D2D">
        <w:rPr>
          <w:sz w:val="22"/>
        </w:rPr>
        <w:t>hap</w:t>
      </w:r>
      <w:r w:rsidRPr="002F5D2D">
        <w:rPr>
          <w:sz w:val="22"/>
          <w:vertAlign w:val="superscript"/>
        </w:rPr>
        <w:t>2</w:t>
      </w:r>
    </w:p>
    <w:p w:rsidR="001F457B" w:rsidRPr="0096271B" w:rsidRDefault="001F457B" w:rsidP="002F5D2D">
      <w:pPr>
        <w:spacing w:after="0"/>
        <w:jc w:val="center"/>
        <w:rPr>
          <w:szCs w:val="24"/>
        </w:rPr>
      </w:pPr>
      <w:r w:rsidRPr="0096271B">
        <w:rPr>
          <w:szCs w:val="24"/>
        </w:rPr>
        <w:t xml:space="preserve">Program </w:t>
      </w:r>
      <w:proofErr w:type="spellStart"/>
      <w:r w:rsidRPr="0096271B">
        <w:rPr>
          <w:szCs w:val="24"/>
        </w:rPr>
        <w:t>Studi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Ekonomi</w:t>
      </w:r>
      <w:proofErr w:type="spellEnd"/>
      <w:r w:rsidRPr="0096271B">
        <w:rPr>
          <w:szCs w:val="24"/>
        </w:rPr>
        <w:t xml:space="preserve"> Pembangunan, </w:t>
      </w:r>
      <w:proofErr w:type="spellStart"/>
      <w:r w:rsidRPr="0096271B">
        <w:rPr>
          <w:szCs w:val="24"/>
        </w:rPr>
        <w:t>Fakultas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Ekonomi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Bisnis</w:t>
      </w:r>
      <w:proofErr w:type="spellEnd"/>
      <w:r w:rsidRPr="0096271B">
        <w:rPr>
          <w:szCs w:val="24"/>
        </w:rPr>
        <w:t xml:space="preserve"> </w:t>
      </w:r>
    </w:p>
    <w:p w:rsidR="001F457B" w:rsidRPr="0096271B" w:rsidRDefault="001F457B" w:rsidP="002F5D2D">
      <w:pPr>
        <w:spacing w:after="0"/>
        <w:jc w:val="center"/>
        <w:rPr>
          <w:szCs w:val="24"/>
        </w:rPr>
      </w:pPr>
      <w:proofErr w:type="spellStart"/>
      <w:r w:rsidRPr="0096271B">
        <w:rPr>
          <w:szCs w:val="24"/>
        </w:rPr>
        <w:t>Universitas</w:t>
      </w:r>
      <w:proofErr w:type="spellEnd"/>
      <w:r w:rsidRPr="0096271B">
        <w:rPr>
          <w:szCs w:val="24"/>
        </w:rPr>
        <w:t xml:space="preserve"> Bung </w:t>
      </w:r>
      <w:proofErr w:type="spellStart"/>
      <w:r w:rsidRPr="0096271B">
        <w:rPr>
          <w:szCs w:val="24"/>
        </w:rPr>
        <w:t>Hatta</w:t>
      </w:r>
      <w:proofErr w:type="spellEnd"/>
    </w:p>
    <w:p w:rsidR="001F457B" w:rsidRPr="0096271B" w:rsidRDefault="001F457B" w:rsidP="002F5D2D">
      <w:pPr>
        <w:spacing w:after="0"/>
        <w:jc w:val="center"/>
        <w:rPr>
          <w:szCs w:val="24"/>
        </w:rPr>
      </w:pPr>
      <w:r w:rsidRPr="0096271B">
        <w:rPr>
          <w:szCs w:val="24"/>
        </w:rPr>
        <w:t xml:space="preserve"> Padang.</w:t>
      </w:r>
    </w:p>
    <w:p w:rsidR="001F457B" w:rsidRPr="0096271B" w:rsidRDefault="001F457B" w:rsidP="002F5D2D">
      <w:pPr>
        <w:spacing w:after="0"/>
        <w:jc w:val="center"/>
        <w:rPr>
          <w:szCs w:val="24"/>
        </w:rPr>
      </w:pPr>
    </w:p>
    <w:p w:rsidR="001F457B" w:rsidRPr="0096271B" w:rsidRDefault="001F457B" w:rsidP="002F5D2D">
      <w:pPr>
        <w:spacing w:after="0"/>
        <w:jc w:val="center"/>
        <w:rPr>
          <w:szCs w:val="24"/>
        </w:rPr>
      </w:pPr>
      <w:proofErr w:type="gramStart"/>
      <w:r w:rsidRPr="0096271B">
        <w:rPr>
          <w:szCs w:val="24"/>
        </w:rPr>
        <w:t>Email :</w:t>
      </w:r>
      <w:proofErr w:type="gramEnd"/>
      <w:r w:rsidRPr="0096271B">
        <w:rPr>
          <w:szCs w:val="24"/>
        </w:rPr>
        <w:t xml:space="preserve"> </w:t>
      </w:r>
      <w:hyperlink r:id="rId9" w:history="1">
        <w:r w:rsidRPr="0096271B">
          <w:rPr>
            <w:rStyle w:val="Hyperlink"/>
            <w:szCs w:val="24"/>
          </w:rPr>
          <w:t>vionaagra13@gmail.com</w:t>
        </w:r>
      </w:hyperlink>
      <w:r w:rsidRPr="0096271B">
        <w:rPr>
          <w:szCs w:val="24"/>
        </w:rPr>
        <w:t xml:space="preserve"> </w:t>
      </w:r>
      <w:hyperlink r:id="rId10" w:history="1">
        <w:r w:rsidRPr="0096271B">
          <w:rPr>
            <w:rStyle w:val="Hyperlink"/>
            <w:szCs w:val="24"/>
          </w:rPr>
          <w:t>e</w:t>
        </w:r>
        <w:r w:rsidRPr="0096271B">
          <w:rPr>
            <w:rStyle w:val="Hyperlink"/>
            <w:szCs w:val="24"/>
          </w:rPr>
          <w:t>r</w:t>
        </w:r>
        <w:r w:rsidRPr="0096271B">
          <w:rPr>
            <w:rStyle w:val="Hyperlink"/>
            <w:szCs w:val="24"/>
          </w:rPr>
          <w:t>ni_fh@yahoo.co.id</w:t>
        </w:r>
      </w:hyperlink>
    </w:p>
    <w:p w:rsidR="001F457B" w:rsidRPr="0096271B" w:rsidRDefault="001F457B" w:rsidP="002F5D2D">
      <w:pPr>
        <w:jc w:val="center"/>
        <w:rPr>
          <w:szCs w:val="24"/>
        </w:rPr>
      </w:pPr>
    </w:p>
    <w:p w:rsidR="001F457B" w:rsidRPr="00845E52" w:rsidRDefault="001F457B" w:rsidP="002F5D2D">
      <w:pPr>
        <w:jc w:val="left"/>
        <w:rPr>
          <w:b/>
          <w:szCs w:val="24"/>
        </w:rPr>
      </w:pPr>
      <w:proofErr w:type="spellStart"/>
      <w:r w:rsidRPr="00845E52">
        <w:rPr>
          <w:b/>
          <w:szCs w:val="24"/>
        </w:rPr>
        <w:t>Pendahuluan</w:t>
      </w:r>
      <w:proofErr w:type="spellEnd"/>
    </w:p>
    <w:p w:rsidR="001F457B" w:rsidRPr="0096271B" w:rsidRDefault="001F457B" w:rsidP="002F5D2D">
      <w:pPr>
        <w:ind w:firstLine="720"/>
        <w:rPr>
          <w:szCs w:val="24"/>
        </w:rPr>
      </w:pPr>
      <w:proofErr w:type="spellStart"/>
      <w:r w:rsidRPr="0096271B">
        <w:rPr>
          <w:szCs w:val="24"/>
        </w:rPr>
        <w:t>Hubungan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antara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struktur</w:t>
      </w:r>
      <w:proofErr w:type="spellEnd"/>
      <w:r w:rsidRPr="0096271B">
        <w:rPr>
          <w:szCs w:val="24"/>
        </w:rPr>
        <w:t xml:space="preserve">, </w:t>
      </w:r>
      <w:proofErr w:type="spellStart"/>
      <w:r w:rsidRPr="0096271B">
        <w:rPr>
          <w:szCs w:val="24"/>
        </w:rPr>
        <w:t>perilaku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kinerja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ditunjukkan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dimana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struktur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pasar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</w:t>
      </w:r>
      <w:r w:rsidRPr="0096271B">
        <w:rPr>
          <w:szCs w:val="24"/>
        </w:rPr>
        <w:t>i</w:t>
      </w:r>
      <w:r w:rsidRPr="0096271B">
        <w:rPr>
          <w:szCs w:val="24"/>
        </w:rPr>
        <w:t>anggap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mempengaruhi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perilaku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melalui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tin</w:t>
      </w:r>
      <w:r w:rsidRPr="0096271B">
        <w:rPr>
          <w:szCs w:val="24"/>
        </w:rPr>
        <w:t>g</w:t>
      </w:r>
      <w:r w:rsidRPr="0096271B">
        <w:rPr>
          <w:szCs w:val="24"/>
        </w:rPr>
        <w:t>kah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laku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perusahaan-perusahaan</w:t>
      </w:r>
      <w:proofErr w:type="spellEnd"/>
      <w:r w:rsidRPr="0096271B">
        <w:rPr>
          <w:szCs w:val="24"/>
        </w:rPr>
        <w:t xml:space="preserve"> yang </w:t>
      </w:r>
      <w:proofErr w:type="spellStart"/>
      <w:r w:rsidRPr="0096271B">
        <w:rPr>
          <w:szCs w:val="24"/>
        </w:rPr>
        <w:t>beroperasi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dalam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industri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pada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akhirnya</w:t>
      </w:r>
      <w:proofErr w:type="spellEnd"/>
      <w:r w:rsidRPr="0096271B">
        <w:rPr>
          <w:szCs w:val="24"/>
        </w:rPr>
        <w:t xml:space="preserve"> </w:t>
      </w:r>
      <w:proofErr w:type="spellStart"/>
      <w:proofErr w:type="gramStart"/>
      <w:r w:rsidRPr="0096271B">
        <w:rPr>
          <w:szCs w:val="24"/>
        </w:rPr>
        <w:t>akan</w:t>
      </w:r>
      <w:proofErr w:type="spellEnd"/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mempengaruhi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kinerjanya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dalam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hu</w:t>
      </w:r>
      <w:r w:rsidRPr="0096271B">
        <w:rPr>
          <w:szCs w:val="24"/>
        </w:rPr>
        <w:t>b</w:t>
      </w:r>
      <w:r w:rsidRPr="0096271B">
        <w:rPr>
          <w:szCs w:val="24"/>
        </w:rPr>
        <w:t>ungan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satu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arah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atau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satu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jalur</w:t>
      </w:r>
      <w:proofErr w:type="spellEnd"/>
      <w:r w:rsidRPr="0096271B">
        <w:rPr>
          <w:szCs w:val="24"/>
        </w:rPr>
        <w:t xml:space="preserve">. </w:t>
      </w:r>
      <w:proofErr w:type="spellStart"/>
      <w:proofErr w:type="gramStart"/>
      <w:r w:rsidRPr="0096271B">
        <w:rPr>
          <w:szCs w:val="24"/>
        </w:rPr>
        <w:t>Sejalan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dengan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perke</w:t>
      </w:r>
      <w:r w:rsidRPr="0096271B">
        <w:rPr>
          <w:szCs w:val="24"/>
        </w:rPr>
        <w:t>m</w:t>
      </w:r>
      <w:r w:rsidRPr="0096271B">
        <w:rPr>
          <w:szCs w:val="24"/>
        </w:rPr>
        <w:t>bangan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studi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ekonomi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industri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maka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hubungan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antara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ketiga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variabel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semakin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ko</w:t>
      </w:r>
      <w:r w:rsidRPr="0096271B">
        <w:rPr>
          <w:szCs w:val="24"/>
        </w:rPr>
        <w:t>m</w:t>
      </w:r>
      <w:r w:rsidRPr="0096271B">
        <w:rPr>
          <w:szCs w:val="24"/>
        </w:rPr>
        <w:t>pleks</w:t>
      </w:r>
      <w:proofErr w:type="spellEnd"/>
      <w:r w:rsidRPr="0096271B">
        <w:rPr>
          <w:szCs w:val="24"/>
        </w:rPr>
        <w:t xml:space="preserve">, </w:t>
      </w:r>
      <w:proofErr w:type="spellStart"/>
      <w:r w:rsidRPr="0096271B">
        <w:rPr>
          <w:szCs w:val="24"/>
        </w:rPr>
        <w:t>bukan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lagi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hanya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hubungan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satu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arah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tetapi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juga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hu</w:t>
      </w:r>
      <w:r w:rsidRPr="0096271B">
        <w:rPr>
          <w:szCs w:val="24"/>
        </w:rPr>
        <w:t>b</w:t>
      </w:r>
      <w:r w:rsidRPr="0096271B">
        <w:rPr>
          <w:szCs w:val="24"/>
        </w:rPr>
        <w:t>ungan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dua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arah</w:t>
      </w:r>
      <w:proofErr w:type="spellEnd"/>
      <w:r w:rsidRPr="0096271B">
        <w:rPr>
          <w:szCs w:val="24"/>
        </w:rPr>
        <w:t xml:space="preserve"> (</w:t>
      </w:r>
      <w:proofErr w:type="spellStart"/>
      <w:r w:rsidRPr="0096271B">
        <w:rPr>
          <w:szCs w:val="24"/>
        </w:rPr>
        <w:t>hubungan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sebab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akibat</w:t>
      </w:r>
      <w:proofErr w:type="spellEnd"/>
      <w:r w:rsidRPr="0096271B">
        <w:rPr>
          <w:szCs w:val="24"/>
        </w:rPr>
        <w:t>).</w:t>
      </w:r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N</w:t>
      </w:r>
      <w:r w:rsidRPr="0096271B">
        <w:rPr>
          <w:szCs w:val="24"/>
        </w:rPr>
        <w:t>a</w:t>
      </w:r>
      <w:r w:rsidRPr="0096271B">
        <w:rPr>
          <w:szCs w:val="24"/>
        </w:rPr>
        <w:t>mun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sebagian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besar</w:t>
      </w:r>
      <w:proofErr w:type="spellEnd"/>
      <w:r w:rsidRPr="0096271B">
        <w:rPr>
          <w:szCs w:val="24"/>
        </w:rPr>
        <w:t xml:space="preserve"> </w:t>
      </w:r>
      <w:proofErr w:type="spellStart"/>
      <w:proofErr w:type="gramStart"/>
      <w:r w:rsidRPr="0096271B">
        <w:rPr>
          <w:szCs w:val="24"/>
        </w:rPr>
        <w:t>analisis</w:t>
      </w:r>
      <w:proofErr w:type="spellEnd"/>
      <w:r w:rsidRPr="0096271B">
        <w:rPr>
          <w:szCs w:val="24"/>
        </w:rPr>
        <w:t xml:space="preserve">  </w:t>
      </w:r>
      <w:proofErr w:type="spellStart"/>
      <w:r w:rsidRPr="0096271B">
        <w:rPr>
          <w:szCs w:val="24"/>
        </w:rPr>
        <w:t>hu</w:t>
      </w:r>
      <w:r w:rsidRPr="0096271B">
        <w:rPr>
          <w:szCs w:val="24"/>
        </w:rPr>
        <w:t>b</w:t>
      </w:r>
      <w:r w:rsidRPr="0096271B">
        <w:rPr>
          <w:szCs w:val="24"/>
        </w:rPr>
        <w:t>ungan</w:t>
      </w:r>
      <w:proofErr w:type="spellEnd"/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sebab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akibat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dimulai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secara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terarah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struktur</w:t>
      </w:r>
      <w:proofErr w:type="spellEnd"/>
      <w:r w:rsidRPr="0096271B">
        <w:rPr>
          <w:szCs w:val="24"/>
        </w:rPr>
        <w:t xml:space="preserve"> yang </w:t>
      </w:r>
      <w:proofErr w:type="spellStart"/>
      <w:r w:rsidRPr="0096271B">
        <w:rPr>
          <w:szCs w:val="24"/>
        </w:rPr>
        <w:t>akhirnya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mempengaruhi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perilaku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atau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kine</w:t>
      </w:r>
      <w:r w:rsidRPr="0096271B">
        <w:rPr>
          <w:szCs w:val="24"/>
        </w:rPr>
        <w:t>r</w:t>
      </w:r>
      <w:r w:rsidRPr="0096271B">
        <w:rPr>
          <w:szCs w:val="24"/>
        </w:rPr>
        <w:t>ja</w:t>
      </w:r>
      <w:proofErr w:type="spellEnd"/>
      <w:r w:rsidRPr="0096271B">
        <w:rPr>
          <w:szCs w:val="24"/>
        </w:rPr>
        <w:t>.</w:t>
      </w:r>
    </w:p>
    <w:p w:rsidR="001F457B" w:rsidRPr="0096271B" w:rsidRDefault="001F457B" w:rsidP="002F5D2D">
      <w:pPr>
        <w:tabs>
          <w:tab w:val="left" w:pos="567"/>
          <w:tab w:val="left" w:pos="709"/>
        </w:tabs>
        <w:rPr>
          <w:b/>
          <w:szCs w:val="24"/>
        </w:rPr>
      </w:pPr>
      <w:r w:rsidRPr="0096271B">
        <w:rPr>
          <w:b/>
          <w:szCs w:val="24"/>
        </w:rPr>
        <w:t>METODE PENELITIAN</w:t>
      </w:r>
    </w:p>
    <w:p w:rsidR="001F457B" w:rsidRPr="0096271B" w:rsidRDefault="001F457B" w:rsidP="002F5D2D">
      <w:pPr>
        <w:tabs>
          <w:tab w:val="left" w:pos="567"/>
        </w:tabs>
        <w:rPr>
          <w:bCs/>
          <w:szCs w:val="24"/>
        </w:rPr>
      </w:pPr>
      <w:r w:rsidRPr="0096271B">
        <w:rPr>
          <w:szCs w:val="24"/>
        </w:rPr>
        <w:tab/>
      </w:r>
      <w:r w:rsidRPr="0096271B">
        <w:rPr>
          <w:szCs w:val="24"/>
        </w:rPr>
        <w:tab/>
      </w:r>
      <w:proofErr w:type="spellStart"/>
      <w:r w:rsidRPr="0096271B">
        <w:rPr>
          <w:szCs w:val="24"/>
        </w:rPr>
        <w:t>Metode</w:t>
      </w:r>
      <w:proofErr w:type="spellEnd"/>
      <w:r w:rsidRPr="0096271B">
        <w:rPr>
          <w:szCs w:val="24"/>
        </w:rPr>
        <w:t xml:space="preserve"> yang </w:t>
      </w:r>
      <w:proofErr w:type="spellStart"/>
      <w:r w:rsidRPr="0096271B">
        <w:rPr>
          <w:szCs w:val="24"/>
        </w:rPr>
        <w:t>digunakan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adalah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metode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deskriptif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kuantitatif</w:t>
      </w:r>
      <w:proofErr w:type="spellEnd"/>
      <w:r w:rsidRPr="0096271B">
        <w:rPr>
          <w:szCs w:val="24"/>
        </w:rPr>
        <w:t xml:space="preserve">, </w:t>
      </w:r>
      <w:proofErr w:type="spellStart"/>
      <w:r w:rsidRPr="0096271B">
        <w:rPr>
          <w:szCs w:val="24"/>
        </w:rPr>
        <w:t>analisis</w:t>
      </w:r>
      <w:proofErr w:type="spellEnd"/>
      <w:r w:rsidRPr="0096271B">
        <w:rPr>
          <w:szCs w:val="24"/>
        </w:rPr>
        <w:t xml:space="preserve"> yang </w:t>
      </w:r>
      <w:proofErr w:type="spellStart"/>
      <w:r w:rsidRPr="0096271B">
        <w:rPr>
          <w:szCs w:val="24"/>
        </w:rPr>
        <w:t>digunakan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regresi</w:t>
      </w:r>
      <w:proofErr w:type="spellEnd"/>
      <w:r w:rsidRPr="0096271B">
        <w:rPr>
          <w:szCs w:val="24"/>
        </w:rPr>
        <w:t xml:space="preserve"> data panel </w:t>
      </w:r>
      <w:proofErr w:type="spellStart"/>
      <w:r w:rsidRPr="0096271B">
        <w:rPr>
          <w:szCs w:val="24"/>
        </w:rPr>
        <w:t>atau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gabungan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antara</w:t>
      </w:r>
      <w:proofErr w:type="spellEnd"/>
      <w:r w:rsidRPr="0096271B">
        <w:rPr>
          <w:szCs w:val="24"/>
        </w:rPr>
        <w:t xml:space="preserve"> data </w:t>
      </w:r>
      <w:r w:rsidRPr="0096271B">
        <w:rPr>
          <w:i/>
          <w:szCs w:val="24"/>
        </w:rPr>
        <w:t>time series</w:t>
      </w:r>
      <w:r w:rsidRPr="0096271B">
        <w:rPr>
          <w:szCs w:val="24"/>
        </w:rPr>
        <w:t xml:space="preserve"> (</w:t>
      </w:r>
      <w:proofErr w:type="spellStart"/>
      <w:r w:rsidRPr="0096271B">
        <w:rPr>
          <w:szCs w:val="24"/>
        </w:rPr>
        <w:t>runtun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waktu</w:t>
      </w:r>
      <w:proofErr w:type="spellEnd"/>
      <w:r w:rsidRPr="0096271B">
        <w:rPr>
          <w:szCs w:val="24"/>
        </w:rPr>
        <w:t xml:space="preserve">) </w:t>
      </w:r>
      <w:proofErr w:type="spellStart"/>
      <w:r w:rsidRPr="0096271B">
        <w:rPr>
          <w:szCs w:val="24"/>
        </w:rPr>
        <w:t>dim</w:t>
      </w:r>
      <w:r w:rsidRPr="0096271B">
        <w:rPr>
          <w:szCs w:val="24"/>
        </w:rPr>
        <w:t>u</w:t>
      </w:r>
      <w:r w:rsidRPr="0096271B">
        <w:rPr>
          <w:szCs w:val="24"/>
        </w:rPr>
        <w:t>lai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tahun</w:t>
      </w:r>
      <w:proofErr w:type="spellEnd"/>
      <w:r w:rsidRPr="0096271B">
        <w:rPr>
          <w:szCs w:val="24"/>
        </w:rPr>
        <w:t xml:space="preserve"> 2018 - 2020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data </w:t>
      </w:r>
      <w:r w:rsidRPr="0096271B">
        <w:rPr>
          <w:i/>
          <w:szCs w:val="24"/>
        </w:rPr>
        <w:t>cross section</w:t>
      </w:r>
      <w:r w:rsidRPr="0096271B">
        <w:rPr>
          <w:szCs w:val="24"/>
        </w:rPr>
        <w:t xml:space="preserve"> (</w:t>
      </w:r>
      <w:proofErr w:type="spellStart"/>
      <w:r w:rsidRPr="0096271B">
        <w:rPr>
          <w:szCs w:val="24"/>
        </w:rPr>
        <w:t>silangan</w:t>
      </w:r>
      <w:proofErr w:type="spellEnd"/>
      <w:r w:rsidRPr="0096271B">
        <w:rPr>
          <w:szCs w:val="24"/>
        </w:rPr>
        <w:t xml:space="preserve">) </w:t>
      </w:r>
      <w:proofErr w:type="spellStart"/>
      <w:r w:rsidRPr="0096271B">
        <w:rPr>
          <w:szCs w:val="24"/>
        </w:rPr>
        <w:t>yaitu</w:t>
      </w:r>
      <w:proofErr w:type="spellEnd"/>
      <w:r w:rsidRPr="0096271B">
        <w:rPr>
          <w:szCs w:val="24"/>
        </w:rPr>
        <w:t xml:space="preserve"> 17 </w:t>
      </w:r>
      <w:proofErr w:type="spellStart"/>
      <w:r w:rsidRPr="0096271B">
        <w:rPr>
          <w:szCs w:val="24"/>
        </w:rPr>
        <w:t>perusahaan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konstruksi</w:t>
      </w:r>
      <w:proofErr w:type="spellEnd"/>
      <w:r w:rsidRPr="0096271B">
        <w:rPr>
          <w:szCs w:val="24"/>
        </w:rPr>
        <w:t xml:space="preserve"> yang </w:t>
      </w:r>
      <w:proofErr w:type="spellStart"/>
      <w:r w:rsidRPr="0096271B">
        <w:rPr>
          <w:szCs w:val="24"/>
        </w:rPr>
        <w:t>terdaftar</w:t>
      </w:r>
      <w:proofErr w:type="spellEnd"/>
      <w:r w:rsidRPr="0096271B">
        <w:rPr>
          <w:szCs w:val="24"/>
        </w:rPr>
        <w:t xml:space="preserve"> di BEI </w:t>
      </w:r>
      <w:proofErr w:type="spellStart"/>
      <w:r w:rsidRPr="0096271B">
        <w:rPr>
          <w:szCs w:val="24"/>
        </w:rPr>
        <w:t>dengan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jumlah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sampel</w:t>
      </w:r>
      <w:proofErr w:type="spellEnd"/>
      <w:r w:rsidRPr="0096271B">
        <w:rPr>
          <w:szCs w:val="24"/>
        </w:rPr>
        <w:t xml:space="preserve"> 51 data. </w:t>
      </w:r>
      <w:proofErr w:type="spellStart"/>
      <w:r w:rsidRPr="0096271B">
        <w:rPr>
          <w:szCs w:val="24"/>
        </w:rPr>
        <w:t>Jenis</w:t>
      </w:r>
      <w:proofErr w:type="spellEnd"/>
      <w:r w:rsidRPr="0096271B">
        <w:rPr>
          <w:szCs w:val="24"/>
        </w:rPr>
        <w:t xml:space="preserve"> data yang </w:t>
      </w:r>
      <w:proofErr w:type="spellStart"/>
      <w:r w:rsidRPr="0096271B">
        <w:rPr>
          <w:szCs w:val="24"/>
        </w:rPr>
        <w:t>digunakan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yaitu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adalah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PCM</w:t>
      </w:r>
      <w:proofErr w:type="gramStart"/>
      <w:r w:rsidRPr="0096271B">
        <w:rPr>
          <w:szCs w:val="24"/>
        </w:rPr>
        <w:t>,Produktivitas,Xeff,MES</w:t>
      </w:r>
      <w:proofErr w:type="spellEnd"/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m:oMath>
        <m:sSub>
          <m:sSubPr>
            <m:ctrlPr>
              <w:rPr>
                <w:rFonts w:ascii="Cambria Math" w:eastAsiaTheme="majorEastAsia" w:hAnsi="Cambria Math"/>
                <w:b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4</m:t>
            </m:r>
          </m:sub>
        </m:sSub>
      </m:oMath>
    </w:p>
    <w:p w:rsidR="001F457B" w:rsidRDefault="001F457B" w:rsidP="002F5D2D">
      <w:pPr>
        <w:tabs>
          <w:tab w:val="left" w:pos="567"/>
        </w:tabs>
        <w:rPr>
          <w:b/>
          <w:szCs w:val="24"/>
        </w:rPr>
      </w:pPr>
      <w:r w:rsidRPr="0096271B">
        <w:rPr>
          <w:b/>
          <w:szCs w:val="24"/>
        </w:rPr>
        <w:t>HASIL DAN PEMBAHASAN</w:t>
      </w:r>
    </w:p>
    <w:tbl>
      <w:tblPr>
        <w:tblStyle w:val="TableGrid"/>
        <w:tblW w:w="0" w:type="auto"/>
        <w:jc w:val="center"/>
        <w:tblInd w:w="378" w:type="dxa"/>
        <w:tblLook w:val="04A0" w:firstRow="1" w:lastRow="0" w:firstColumn="1" w:lastColumn="0" w:noHBand="0" w:noVBand="1"/>
      </w:tblPr>
      <w:tblGrid>
        <w:gridCol w:w="1816"/>
        <w:gridCol w:w="879"/>
        <w:gridCol w:w="918"/>
        <w:gridCol w:w="932"/>
      </w:tblGrid>
      <w:tr w:rsidR="002F5D2D" w:rsidRPr="002F5D2D" w:rsidTr="002B1664">
        <w:trPr>
          <w:jc w:val="center"/>
        </w:trPr>
        <w:tc>
          <w:tcPr>
            <w:tcW w:w="1951" w:type="dxa"/>
          </w:tcPr>
          <w:p w:rsidR="00685B12" w:rsidRPr="002F5D2D" w:rsidRDefault="00685B12" w:rsidP="002F5D2D">
            <w:pPr>
              <w:tabs>
                <w:tab w:val="left" w:pos="567"/>
              </w:tabs>
              <w:spacing w:line="276" w:lineRule="auto"/>
              <w:rPr>
                <w:b/>
                <w:sz w:val="22"/>
              </w:rPr>
            </w:pPr>
            <w:proofErr w:type="spellStart"/>
            <w:r w:rsidRPr="002F5D2D">
              <w:rPr>
                <w:b/>
                <w:sz w:val="22"/>
              </w:rPr>
              <w:lastRenderedPageBreak/>
              <w:t>Ind</w:t>
            </w:r>
            <w:r w:rsidRPr="002F5D2D">
              <w:rPr>
                <w:b/>
                <w:sz w:val="22"/>
              </w:rPr>
              <w:t>i</w:t>
            </w:r>
            <w:r w:rsidRPr="002F5D2D">
              <w:rPr>
                <w:b/>
                <w:sz w:val="22"/>
              </w:rPr>
              <w:t>kator</w:t>
            </w:r>
            <w:proofErr w:type="spellEnd"/>
            <w:r w:rsidRPr="002F5D2D">
              <w:rPr>
                <w:b/>
                <w:sz w:val="22"/>
              </w:rPr>
              <w:t>/</w:t>
            </w:r>
            <w:proofErr w:type="spellStart"/>
            <w:r w:rsidRPr="002F5D2D">
              <w:rPr>
                <w:b/>
                <w:sz w:val="22"/>
              </w:rPr>
              <w:t>Tahun</w:t>
            </w:r>
            <w:proofErr w:type="spellEnd"/>
          </w:p>
        </w:tc>
        <w:tc>
          <w:tcPr>
            <w:tcW w:w="1566" w:type="dxa"/>
          </w:tcPr>
          <w:p w:rsidR="00685B12" w:rsidRPr="002F5D2D" w:rsidRDefault="00685B12" w:rsidP="002F5D2D">
            <w:pPr>
              <w:tabs>
                <w:tab w:val="left" w:pos="567"/>
              </w:tabs>
              <w:spacing w:line="276" w:lineRule="auto"/>
              <w:rPr>
                <w:b/>
                <w:sz w:val="22"/>
              </w:rPr>
            </w:pPr>
            <w:r w:rsidRPr="002F5D2D">
              <w:rPr>
                <w:b/>
                <w:sz w:val="22"/>
              </w:rPr>
              <w:t>2018</w:t>
            </w:r>
          </w:p>
        </w:tc>
        <w:tc>
          <w:tcPr>
            <w:tcW w:w="2070" w:type="dxa"/>
          </w:tcPr>
          <w:p w:rsidR="00685B12" w:rsidRPr="002F5D2D" w:rsidRDefault="00685B12" w:rsidP="002F5D2D">
            <w:pPr>
              <w:tabs>
                <w:tab w:val="left" w:pos="567"/>
              </w:tabs>
              <w:spacing w:line="276" w:lineRule="auto"/>
              <w:rPr>
                <w:b/>
                <w:sz w:val="22"/>
              </w:rPr>
            </w:pPr>
            <w:r w:rsidRPr="002F5D2D">
              <w:rPr>
                <w:b/>
                <w:sz w:val="22"/>
              </w:rPr>
              <w:t>2019</w:t>
            </w:r>
          </w:p>
        </w:tc>
        <w:tc>
          <w:tcPr>
            <w:tcW w:w="2250" w:type="dxa"/>
          </w:tcPr>
          <w:p w:rsidR="00685B12" w:rsidRPr="002F5D2D" w:rsidRDefault="00685B12" w:rsidP="002F5D2D">
            <w:pPr>
              <w:tabs>
                <w:tab w:val="left" w:pos="567"/>
              </w:tabs>
              <w:spacing w:line="276" w:lineRule="auto"/>
              <w:rPr>
                <w:b/>
                <w:sz w:val="22"/>
              </w:rPr>
            </w:pPr>
            <w:r w:rsidRPr="002F5D2D">
              <w:rPr>
                <w:b/>
                <w:sz w:val="22"/>
              </w:rPr>
              <w:t>2020</w:t>
            </w:r>
          </w:p>
        </w:tc>
      </w:tr>
      <w:tr w:rsidR="002F5D2D" w:rsidRPr="002F5D2D" w:rsidTr="002B1664">
        <w:trPr>
          <w:jc w:val="center"/>
        </w:trPr>
        <w:tc>
          <w:tcPr>
            <w:tcW w:w="1951" w:type="dxa"/>
          </w:tcPr>
          <w:p w:rsidR="00685B12" w:rsidRPr="002F5D2D" w:rsidRDefault="00685B12" w:rsidP="002F5D2D">
            <w:pPr>
              <w:tabs>
                <w:tab w:val="left" w:pos="567"/>
              </w:tabs>
              <w:spacing w:line="276" w:lineRule="auto"/>
              <w:rPr>
                <w:b/>
                <w:sz w:val="22"/>
              </w:rPr>
            </w:pPr>
            <w:r w:rsidRPr="002F5D2D">
              <w:rPr>
                <w:b/>
                <w:sz w:val="22"/>
              </w:rPr>
              <w:t>PCM</w:t>
            </w:r>
          </w:p>
        </w:tc>
        <w:tc>
          <w:tcPr>
            <w:tcW w:w="1566" w:type="dxa"/>
            <w:vAlign w:val="bottom"/>
          </w:tcPr>
          <w:p w:rsidR="00685B12" w:rsidRPr="002F5D2D" w:rsidRDefault="00685B12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59.21</w:t>
            </w:r>
          </w:p>
        </w:tc>
        <w:tc>
          <w:tcPr>
            <w:tcW w:w="2070" w:type="dxa"/>
            <w:vAlign w:val="bottom"/>
          </w:tcPr>
          <w:p w:rsidR="00685B12" w:rsidRPr="002F5D2D" w:rsidRDefault="00685B12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59.18</w:t>
            </w:r>
          </w:p>
        </w:tc>
        <w:tc>
          <w:tcPr>
            <w:tcW w:w="2250" w:type="dxa"/>
            <w:vAlign w:val="bottom"/>
          </w:tcPr>
          <w:p w:rsidR="00685B12" w:rsidRPr="002F5D2D" w:rsidRDefault="00685B12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62.48</w:t>
            </w:r>
          </w:p>
        </w:tc>
      </w:tr>
      <w:tr w:rsidR="002F5D2D" w:rsidRPr="002F5D2D" w:rsidTr="002B1664">
        <w:trPr>
          <w:jc w:val="center"/>
        </w:trPr>
        <w:tc>
          <w:tcPr>
            <w:tcW w:w="1951" w:type="dxa"/>
          </w:tcPr>
          <w:p w:rsidR="002B1664" w:rsidRPr="002F5D2D" w:rsidRDefault="002B1664" w:rsidP="002F5D2D">
            <w:pPr>
              <w:tabs>
                <w:tab w:val="left" w:pos="567"/>
              </w:tabs>
              <w:spacing w:line="276" w:lineRule="auto"/>
              <w:rPr>
                <w:b/>
                <w:sz w:val="22"/>
              </w:rPr>
            </w:pPr>
            <w:proofErr w:type="spellStart"/>
            <w:r w:rsidRPr="002F5D2D">
              <w:rPr>
                <w:b/>
                <w:sz w:val="22"/>
              </w:rPr>
              <w:t>Produktiv</w:t>
            </w:r>
            <w:r w:rsidRPr="002F5D2D">
              <w:rPr>
                <w:b/>
                <w:sz w:val="22"/>
              </w:rPr>
              <w:t>i</w:t>
            </w:r>
            <w:r w:rsidRPr="002F5D2D">
              <w:rPr>
                <w:b/>
                <w:sz w:val="22"/>
              </w:rPr>
              <w:t>tas</w:t>
            </w:r>
            <w:proofErr w:type="spellEnd"/>
          </w:p>
        </w:tc>
        <w:tc>
          <w:tcPr>
            <w:tcW w:w="1566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74,</w:t>
            </w:r>
            <w:r w:rsidRPr="002F5D2D">
              <w:rPr>
                <w:sz w:val="22"/>
              </w:rPr>
              <w:t>86</w:t>
            </w:r>
          </w:p>
        </w:tc>
        <w:tc>
          <w:tcPr>
            <w:tcW w:w="2070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58,</w:t>
            </w:r>
            <w:r w:rsidRPr="002F5D2D">
              <w:rPr>
                <w:sz w:val="22"/>
              </w:rPr>
              <w:t>98</w:t>
            </w:r>
          </w:p>
        </w:tc>
        <w:tc>
          <w:tcPr>
            <w:tcW w:w="2250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65,</w:t>
            </w:r>
            <w:r w:rsidRPr="002F5D2D">
              <w:rPr>
                <w:sz w:val="22"/>
              </w:rPr>
              <w:t>72</w:t>
            </w:r>
          </w:p>
        </w:tc>
      </w:tr>
      <w:tr w:rsidR="002F5D2D" w:rsidRPr="002F5D2D" w:rsidTr="002B1664">
        <w:trPr>
          <w:jc w:val="center"/>
        </w:trPr>
        <w:tc>
          <w:tcPr>
            <w:tcW w:w="1951" w:type="dxa"/>
          </w:tcPr>
          <w:p w:rsidR="002B1664" w:rsidRPr="002F5D2D" w:rsidRDefault="002B1664" w:rsidP="002F5D2D">
            <w:pPr>
              <w:tabs>
                <w:tab w:val="left" w:pos="567"/>
              </w:tabs>
              <w:spacing w:line="276" w:lineRule="auto"/>
              <w:rPr>
                <w:b/>
                <w:sz w:val="22"/>
              </w:rPr>
            </w:pPr>
            <w:r w:rsidRPr="002F5D2D">
              <w:rPr>
                <w:b/>
                <w:sz w:val="22"/>
              </w:rPr>
              <w:t>MES</w:t>
            </w:r>
          </w:p>
        </w:tc>
        <w:tc>
          <w:tcPr>
            <w:tcW w:w="1566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70.0</w:t>
            </w:r>
            <w:r w:rsidRPr="002F5D2D">
              <w:rPr>
                <w:sz w:val="22"/>
              </w:rPr>
              <w:t>2</w:t>
            </w:r>
          </w:p>
        </w:tc>
        <w:tc>
          <w:tcPr>
            <w:tcW w:w="2070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73.</w:t>
            </w:r>
            <w:r w:rsidRPr="002F5D2D">
              <w:rPr>
                <w:sz w:val="22"/>
              </w:rPr>
              <w:t>69</w:t>
            </w:r>
          </w:p>
        </w:tc>
        <w:tc>
          <w:tcPr>
            <w:tcW w:w="2250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80.</w:t>
            </w:r>
            <w:r w:rsidRPr="002F5D2D">
              <w:rPr>
                <w:sz w:val="22"/>
              </w:rPr>
              <w:t>69</w:t>
            </w:r>
          </w:p>
        </w:tc>
      </w:tr>
      <w:tr w:rsidR="002F5D2D" w:rsidRPr="002F5D2D" w:rsidTr="002B1664">
        <w:trPr>
          <w:jc w:val="center"/>
        </w:trPr>
        <w:tc>
          <w:tcPr>
            <w:tcW w:w="1951" w:type="dxa"/>
          </w:tcPr>
          <w:p w:rsidR="002B1664" w:rsidRPr="002F5D2D" w:rsidRDefault="002B1664" w:rsidP="002F5D2D">
            <w:pPr>
              <w:tabs>
                <w:tab w:val="left" w:pos="567"/>
              </w:tabs>
              <w:spacing w:line="276" w:lineRule="auto"/>
              <w:rPr>
                <w:b/>
                <w:sz w:val="22"/>
              </w:rPr>
            </w:pPr>
            <w:proofErr w:type="spellStart"/>
            <w:r w:rsidRPr="002F5D2D">
              <w:rPr>
                <w:b/>
                <w:sz w:val="22"/>
              </w:rPr>
              <w:t>Xeff</w:t>
            </w:r>
            <w:proofErr w:type="spellEnd"/>
          </w:p>
        </w:tc>
        <w:tc>
          <w:tcPr>
            <w:tcW w:w="1566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192.41</w:t>
            </w:r>
          </w:p>
        </w:tc>
        <w:tc>
          <w:tcPr>
            <w:tcW w:w="2070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204.06</w:t>
            </w:r>
          </w:p>
        </w:tc>
        <w:tc>
          <w:tcPr>
            <w:tcW w:w="2250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452.79</w:t>
            </w:r>
          </w:p>
        </w:tc>
      </w:tr>
      <w:tr w:rsidR="002B1664" w:rsidRPr="002F5D2D" w:rsidTr="002B1664">
        <w:trPr>
          <w:jc w:val="center"/>
        </w:trPr>
        <w:tc>
          <w:tcPr>
            <w:tcW w:w="1951" w:type="dxa"/>
          </w:tcPr>
          <w:p w:rsidR="002B1664" w:rsidRPr="002F5D2D" w:rsidRDefault="002B1664" w:rsidP="002F5D2D">
            <w:pPr>
              <w:tabs>
                <w:tab w:val="left" w:pos="567"/>
              </w:tabs>
              <w:spacing w:line="276" w:lineRule="auto"/>
              <w:rPr>
                <w:b/>
                <w:sz w:val="22"/>
              </w:rPr>
            </w:pPr>
            <w:r w:rsidRPr="002F5D2D">
              <w:rPr>
                <w:b/>
                <w:sz w:val="22"/>
              </w:rPr>
              <w:t>Cr4</w:t>
            </w:r>
          </w:p>
        </w:tc>
        <w:tc>
          <w:tcPr>
            <w:tcW w:w="1566" w:type="dxa"/>
          </w:tcPr>
          <w:p w:rsidR="002B1664" w:rsidRPr="002F5D2D" w:rsidRDefault="002B1664" w:rsidP="002F5D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2"/>
              </w:rPr>
            </w:pPr>
            <w:r w:rsidRPr="002F5D2D">
              <w:rPr>
                <w:sz w:val="22"/>
              </w:rPr>
              <w:t>88.37</w:t>
            </w:r>
          </w:p>
        </w:tc>
        <w:tc>
          <w:tcPr>
            <w:tcW w:w="2070" w:type="dxa"/>
          </w:tcPr>
          <w:p w:rsidR="002B1664" w:rsidRPr="002F5D2D" w:rsidRDefault="002B1664" w:rsidP="002F5D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sz w:val="22"/>
              </w:rPr>
            </w:pPr>
            <w:r w:rsidRPr="002F5D2D">
              <w:rPr>
                <w:sz w:val="22"/>
              </w:rPr>
              <w:t>90.21</w:t>
            </w:r>
          </w:p>
        </w:tc>
        <w:tc>
          <w:tcPr>
            <w:tcW w:w="2250" w:type="dxa"/>
            <w:vAlign w:val="bottom"/>
          </w:tcPr>
          <w:p w:rsidR="002B1664" w:rsidRPr="002F5D2D" w:rsidRDefault="002B1664" w:rsidP="002F5D2D">
            <w:pPr>
              <w:spacing w:line="276" w:lineRule="auto"/>
              <w:jc w:val="center"/>
              <w:rPr>
                <w:sz w:val="22"/>
              </w:rPr>
            </w:pPr>
            <w:r w:rsidRPr="002F5D2D">
              <w:rPr>
                <w:sz w:val="22"/>
              </w:rPr>
              <w:t>85.1</w:t>
            </w:r>
          </w:p>
        </w:tc>
      </w:tr>
    </w:tbl>
    <w:p w:rsidR="001F457B" w:rsidRPr="0096271B" w:rsidRDefault="001F457B" w:rsidP="002F5D2D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rPr>
          <w:b/>
          <w:szCs w:val="24"/>
        </w:rPr>
      </w:pPr>
      <w:r w:rsidRPr="0096271B">
        <w:rPr>
          <w:b/>
          <w:szCs w:val="24"/>
        </w:rPr>
        <w:t>PCM.</w:t>
      </w:r>
    </w:p>
    <w:p w:rsidR="00685B12" w:rsidRDefault="001F457B" w:rsidP="002F5D2D">
      <w:pPr>
        <w:spacing w:after="0" w:line="240" w:lineRule="auto"/>
        <w:ind w:firstLine="567"/>
        <w:rPr>
          <w:szCs w:val="24"/>
        </w:rPr>
      </w:pPr>
      <w:proofErr w:type="gramStart"/>
      <w:r w:rsidRPr="0096271B">
        <w:rPr>
          <w:szCs w:val="24"/>
        </w:rPr>
        <w:t xml:space="preserve">PCM yang </w:t>
      </w:r>
      <w:proofErr w:type="spellStart"/>
      <w:r w:rsidRPr="0096271B">
        <w:rPr>
          <w:szCs w:val="24"/>
        </w:rPr>
        <w:t>terjadi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pada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tahun</w:t>
      </w:r>
      <w:proofErr w:type="spellEnd"/>
      <w:r w:rsidRPr="0096271B">
        <w:rPr>
          <w:szCs w:val="24"/>
        </w:rPr>
        <w:t xml:space="preserve"> 2020 </w:t>
      </w:r>
      <w:proofErr w:type="spellStart"/>
      <w:r w:rsidRPr="0096271B">
        <w:rPr>
          <w:szCs w:val="24"/>
        </w:rPr>
        <w:t>ters</w:t>
      </w:r>
      <w:r w:rsidRPr="0096271B">
        <w:rPr>
          <w:szCs w:val="24"/>
        </w:rPr>
        <w:t>e</w:t>
      </w:r>
      <w:r w:rsidRPr="0096271B">
        <w:rPr>
          <w:szCs w:val="24"/>
        </w:rPr>
        <w:t>but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tinggi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dapat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disebabkan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karena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ta</w:t>
      </w:r>
      <w:r w:rsidRPr="0096271B">
        <w:rPr>
          <w:szCs w:val="24"/>
        </w:rPr>
        <w:t>m</w:t>
      </w:r>
      <w:r w:rsidRPr="0096271B">
        <w:rPr>
          <w:szCs w:val="24"/>
        </w:rPr>
        <w:t>bah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industri</w:t>
      </w:r>
      <w:proofErr w:type="spellEnd"/>
      <w:r w:rsidRPr="0096271B">
        <w:rPr>
          <w:szCs w:val="24"/>
        </w:rPr>
        <w:t xml:space="preserve"> yang </w:t>
      </w:r>
      <w:proofErr w:type="spellStart"/>
      <w:r w:rsidRPr="0096271B">
        <w:rPr>
          <w:szCs w:val="24"/>
        </w:rPr>
        <w:t>meningkat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drastis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diikuti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dengan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peningkatan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biaya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tenaga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kerja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disertai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dengan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tingginya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barang</w:t>
      </w:r>
      <w:proofErr w:type="spellEnd"/>
      <w:r w:rsidRPr="0096271B">
        <w:rPr>
          <w:szCs w:val="24"/>
        </w:rPr>
        <w:t xml:space="preserve"> yang </w:t>
      </w:r>
      <w:proofErr w:type="spellStart"/>
      <w:r w:rsidRPr="0096271B">
        <w:rPr>
          <w:szCs w:val="24"/>
        </w:rPr>
        <w:t>dihasilkan</w:t>
      </w:r>
      <w:proofErr w:type="spellEnd"/>
      <w:r w:rsidRPr="0096271B">
        <w:rPr>
          <w:szCs w:val="24"/>
        </w:rPr>
        <w:t>.</w:t>
      </w:r>
      <w:proofErr w:type="gramEnd"/>
      <w:r w:rsidRPr="0096271B">
        <w:rPr>
          <w:szCs w:val="24"/>
        </w:rPr>
        <w:t xml:space="preserve"> </w:t>
      </w:r>
    </w:p>
    <w:p w:rsidR="001F457B" w:rsidRPr="00685B12" w:rsidRDefault="001F457B" w:rsidP="002F5D2D">
      <w:pPr>
        <w:pStyle w:val="ListParagraph"/>
        <w:numPr>
          <w:ilvl w:val="0"/>
          <w:numId w:val="2"/>
        </w:numPr>
        <w:spacing w:after="0"/>
        <w:rPr>
          <w:b/>
          <w:szCs w:val="24"/>
        </w:rPr>
      </w:pPr>
      <w:proofErr w:type="spellStart"/>
      <w:r w:rsidRPr="00685B12">
        <w:rPr>
          <w:b/>
          <w:szCs w:val="24"/>
        </w:rPr>
        <w:t>Produktivitas</w:t>
      </w:r>
      <w:proofErr w:type="spellEnd"/>
    </w:p>
    <w:p w:rsidR="002B1664" w:rsidRDefault="00C95B65" w:rsidP="00845E52">
      <w:pPr>
        <w:spacing w:after="0"/>
        <w:ind w:firstLine="720"/>
        <w:rPr>
          <w:szCs w:val="24"/>
        </w:rPr>
      </w:pPr>
      <w:proofErr w:type="spellStart"/>
      <w:r w:rsidRPr="0096271B">
        <w:rPr>
          <w:szCs w:val="24"/>
        </w:rPr>
        <w:t>Pengukuran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produktivitas</w:t>
      </w:r>
      <w:proofErr w:type="spellEnd"/>
      <w:r w:rsidRPr="0096271B">
        <w:rPr>
          <w:szCs w:val="24"/>
        </w:rPr>
        <w:t xml:space="preserve"> yang </w:t>
      </w:r>
      <w:proofErr w:type="spellStart"/>
      <w:r w:rsidRPr="0096271B">
        <w:rPr>
          <w:szCs w:val="24"/>
        </w:rPr>
        <w:t>diny</w:t>
      </w:r>
      <w:r w:rsidRPr="0096271B">
        <w:rPr>
          <w:szCs w:val="24"/>
        </w:rPr>
        <w:t>a</w:t>
      </w:r>
      <w:r w:rsidRPr="0096271B">
        <w:rPr>
          <w:szCs w:val="24"/>
        </w:rPr>
        <w:t>takan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sebagai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perbandingan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output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te</w:t>
      </w:r>
      <w:r w:rsidR="0096271B">
        <w:rPr>
          <w:szCs w:val="24"/>
        </w:rPr>
        <w:t>naga</w:t>
      </w:r>
      <w:proofErr w:type="spellEnd"/>
      <w:r w:rsidR="0096271B">
        <w:rPr>
          <w:szCs w:val="24"/>
        </w:rPr>
        <w:t xml:space="preserve"> </w:t>
      </w:r>
      <w:proofErr w:type="spellStart"/>
      <w:r w:rsidR="0096271B">
        <w:rPr>
          <w:szCs w:val="24"/>
        </w:rPr>
        <w:t>kerja</w:t>
      </w:r>
      <w:proofErr w:type="spellEnd"/>
      <w:r w:rsidR="0096271B">
        <w:rPr>
          <w:szCs w:val="24"/>
        </w:rPr>
        <w:t xml:space="preserve"> </w:t>
      </w:r>
      <w:proofErr w:type="spellStart"/>
      <w:r w:rsidR="0096271B">
        <w:rPr>
          <w:szCs w:val="24"/>
        </w:rPr>
        <w:t>pada</w:t>
      </w:r>
      <w:proofErr w:type="spellEnd"/>
      <w:r w:rsidR="0096271B">
        <w:rPr>
          <w:szCs w:val="24"/>
        </w:rPr>
        <w:t xml:space="preserve"> </w:t>
      </w:r>
      <w:proofErr w:type="spellStart"/>
      <w:r w:rsidR="0096271B">
        <w:rPr>
          <w:szCs w:val="24"/>
        </w:rPr>
        <w:t>tahun</w:t>
      </w:r>
      <w:proofErr w:type="spellEnd"/>
      <w:r w:rsidR="0096271B">
        <w:rPr>
          <w:szCs w:val="24"/>
        </w:rPr>
        <w:t xml:space="preserve"> </w:t>
      </w:r>
      <w:proofErr w:type="spellStart"/>
      <w:r w:rsidR="0096271B">
        <w:rPr>
          <w:szCs w:val="24"/>
        </w:rPr>
        <w:t>ters</w:t>
      </w:r>
      <w:r w:rsidR="0096271B">
        <w:rPr>
          <w:szCs w:val="24"/>
        </w:rPr>
        <w:t>e</w:t>
      </w:r>
      <w:r w:rsidR="0096271B">
        <w:rPr>
          <w:szCs w:val="24"/>
        </w:rPr>
        <w:t>but</w:t>
      </w:r>
      <w:proofErr w:type="spellEnd"/>
      <w:r w:rsidR="0096271B">
        <w:rPr>
          <w:szCs w:val="24"/>
        </w:rPr>
        <w:t xml:space="preserve">. </w:t>
      </w:r>
      <w:proofErr w:type="spellStart"/>
      <w:proofErr w:type="gramStart"/>
      <w:r w:rsid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rata-rata </w:t>
      </w:r>
      <w:proofErr w:type="spellStart"/>
      <w:r w:rsidRPr="0096271B">
        <w:rPr>
          <w:szCs w:val="24"/>
        </w:rPr>
        <w:t>produktivitas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</w:t>
      </w:r>
      <w:r w:rsidRPr="0096271B">
        <w:rPr>
          <w:szCs w:val="24"/>
        </w:rPr>
        <w:t>n</w:t>
      </w:r>
      <w:r w:rsidRPr="0096271B">
        <w:rPr>
          <w:szCs w:val="24"/>
        </w:rPr>
        <w:t>galamai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fluktuasi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dalam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tiga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tahun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tersebut</w:t>
      </w:r>
      <w:proofErr w:type="spellEnd"/>
      <w:r w:rsidRPr="0096271B">
        <w:rPr>
          <w:szCs w:val="24"/>
        </w:rPr>
        <w:t>.</w:t>
      </w:r>
      <w:proofErr w:type="gramEnd"/>
      <w:r w:rsidRPr="0096271B">
        <w:rPr>
          <w:szCs w:val="24"/>
        </w:rPr>
        <w:t xml:space="preserve"> </w:t>
      </w:r>
    </w:p>
    <w:p w:rsidR="001F457B" w:rsidRPr="002B1664" w:rsidRDefault="00C95B65" w:rsidP="00845E52">
      <w:pPr>
        <w:pStyle w:val="ListParagraph"/>
        <w:numPr>
          <w:ilvl w:val="0"/>
          <w:numId w:val="2"/>
        </w:numPr>
        <w:spacing w:after="0"/>
        <w:rPr>
          <w:b/>
          <w:szCs w:val="24"/>
        </w:rPr>
      </w:pPr>
      <w:proofErr w:type="spellStart"/>
      <w:r w:rsidRPr="002B1664">
        <w:rPr>
          <w:b/>
          <w:szCs w:val="24"/>
        </w:rPr>
        <w:t>Xeff</w:t>
      </w:r>
      <w:proofErr w:type="spellEnd"/>
    </w:p>
    <w:p w:rsidR="00C95B65" w:rsidRPr="0096271B" w:rsidRDefault="00C95B65" w:rsidP="00845E52">
      <w:pPr>
        <w:spacing w:after="0" w:line="240" w:lineRule="auto"/>
        <w:ind w:right="393" w:firstLine="567"/>
        <w:rPr>
          <w:szCs w:val="24"/>
        </w:rPr>
      </w:pPr>
      <w:proofErr w:type="spellStart"/>
      <w:proofErr w:type="gram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effisiensi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perusahaan-perusahaan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konstruksi</w:t>
      </w:r>
      <w:proofErr w:type="spellEnd"/>
      <w:r w:rsidRPr="0096271B">
        <w:rPr>
          <w:szCs w:val="24"/>
        </w:rPr>
        <w:t xml:space="preserve"> yang </w:t>
      </w:r>
      <w:proofErr w:type="spellStart"/>
      <w:r w:rsidRPr="0096271B">
        <w:rPr>
          <w:szCs w:val="24"/>
        </w:rPr>
        <w:t>terdaftar</w:t>
      </w:r>
      <w:proofErr w:type="spellEnd"/>
      <w:r w:rsidRPr="0096271B">
        <w:rPr>
          <w:szCs w:val="24"/>
        </w:rPr>
        <w:t xml:space="preserve"> di BEI </w:t>
      </w:r>
      <w:proofErr w:type="spellStart"/>
      <w:r w:rsidRPr="0096271B">
        <w:rPr>
          <w:szCs w:val="24"/>
        </w:rPr>
        <w:t>ini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</w:t>
      </w:r>
      <w:r w:rsidRPr="0096271B">
        <w:rPr>
          <w:szCs w:val="24"/>
        </w:rPr>
        <w:t>n</w:t>
      </w:r>
      <w:r w:rsidRPr="0096271B">
        <w:rPr>
          <w:szCs w:val="24"/>
        </w:rPr>
        <w:t>galami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fluktuasi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tahun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ke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tahun</w:t>
      </w:r>
      <w:proofErr w:type="spellEnd"/>
      <w:r w:rsidRPr="0096271B">
        <w:rPr>
          <w:szCs w:val="24"/>
        </w:rPr>
        <w:t>.</w:t>
      </w:r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Nilai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effisiensi</w:t>
      </w:r>
      <w:proofErr w:type="spellEnd"/>
      <w:r w:rsidRPr="0096271B">
        <w:rPr>
          <w:w w:val="105"/>
          <w:szCs w:val="24"/>
        </w:rPr>
        <w:t xml:space="preserve"> yang </w:t>
      </w:r>
      <w:proofErr w:type="spellStart"/>
      <w:r w:rsidRPr="0096271B">
        <w:rPr>
          <w:w w:val="105"/>
          <w:szCs w:val="24"/>
        </w:rPr>
        <w:t>tinggi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tersebut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men</w:t>
      </w:r>
      <w:r w:rsidRPr="0096271B">
        <w:rPr>
          <w:w w:val="105"/>
          <w:szCs w:val="24"/>
        </w:rPr>
        <w:t>c</w:t>
      </w:r>
      <w:r w:rsidRPr="0096271B">
        <w:rPr>
          <w:w w:val="105"/>
          <w:szCs w:val="24"/>
        </w:rPr>
        <w:t>erminkan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kemampuan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industri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untuk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meminimumkan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jumlah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biaya</w:t>
      </w:r>
      <w:proofErr w:type="spellEnd"/>
      <w:r w:rsidRPr="0096271B">
        <w:rPr>
          <w:w w:val="105"/>
          <w:szCs w:val="24"/>
        </w:rPr>
        <w:t xml:space="preserve"> i</w:t>
      </w:r>
      <w:r w:rsidRPr="0096271B">
        <w:rPr>
          <w:w w:val="105"/>
          <w:szCs w:val="24"/>
        </w:rPr>
        <w:t>n</w:t>
      </w:r>
      <w:r w:rsidRPr="0096271B">
        <w:rPr>
          <w:w w:val="105"/>
          <w:szCs w:val="24"/>
        </w:rPr>
        <w:t xml:space="preserve">put yang </w:t>
      </w:r>
      <w:proofErr w:type="spellStart"/>
      <w:r w:rsidRPr="0096271B">
        <w:rPr>
          <w:w w:val="105"/>
          <w:szCs w:val="24"/>
        </w:rPr>
        <w:t>digunakan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untuk</w:t>
      </w:r>
      <w:proofErr w:type="spellEnd"/>
      <w:r w:rsidRPr="0096271B">
        <w:rPr>
          <w:w w:val="105"/>
          <w:szCs w:val="24"/>
        </w:rPr>
        <w:t xml:space="preserve"> proses </w:t>
      </w:r>
      <w:proofErr w:type="spellStart"/>
      <w:r w:rsidRPr="0096271B">
        <w:rPr>
          <w:w w:val="105"/>
          <w:szCs w:val="24"/>
        </w:rPr>
        <w:t>produksi</w:t>
      </w:r>
      <w:proofErr w:type="spellEnd"/>
      <w:r w:rsidRPr="0096271B">
        <w:rPr>
          <w:w w:val="105"/>
          <w:szCs w:val="24"/>
        </w:rPr>
        <w:t xml:space="preserve">, </w:t>
      </w:r>
      <w:proofErr w:type="spellStart"/>
      <w:r w:rsidRPr="0096271B">
        <w:rPr>
          <w:w w:val="105"/>
          <w:szCs w:val="24"/>
        </w:rPr>
        <w:t>artinya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perusahaan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dikelola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dengan</w:t>
      </w:r>
      <w:proofErr w:type="spellEnd"/>
      <w:r w:rsidRPr="0096271B">
        <w:rPr>
          <w:w w:val="105"/>
          <w:szCs w:val="24"/>
        </w:rPr>
        <w:t xml:space="preserve"> </w:t>
      </w:r>
      <w:proofErr w:type="spellStart"/>
      <w:r w:rsidRPr="0096271B">
        <w:rPr>
          <w:w w:val="105"/>
          <w:szCs w:val="24"/>
        </w:rPr>
        <w:t>baik</w:t>
      </w:r>
      <w:proofErr w:type="spellEnd"/>
      <w:r w:rsidRPr="0096271B">
        <w:rPr>
          <w:w w:val="105"/>
          <w:szCs w:val="24"/>
        </w:rPr>
        <w:t>.</w:t>
      </w:r>
    </w:p>
    <w:p w:rsidR="00C95B65" w:rsidRPr="0096271B" w:rsidRDefault="00C95B65" w:rsidP="00845E52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rPr>
          <w:b/>
          <w:szCs w:val="24"/>
        </w:rPr>
      </w:pPr>
      <w:r w:rsidRPr="0096271B">
        <w:rPr>
          <w:b/>
          <w:szCs w:val="24"/>
        </w:rPr>
        <w:t>MES</w:t>
      </w:r>
    </w:p>
    <w:p w:rsidR="00C95B65" w:rsidRPr="0096271B" w:rsidRDefault="00C95B65" w:rsidP="00845E52">
      <w:pPr>
        <w:spacing w:after="0" w:line="240" w:lineRule="auto"/>
        <w:ind w:firstLine="720"/>
        <w:rPr>
          <w:szCs w:val="24"/>
        </w:rPr>
      </w:pPr>
      <w:proofErr w:type="spellStart"/>
      <w:proofErr w:type="gramStart"/>
      <w:r w:rsidRPr="0096271B">
        <w:rPr>
          <w:szCs w:val="24"/>
        </w:rPr>
        <w:t>Melalui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pendekatan</w:t>
      </w:r>
      <w:proofErr w:type="spellEnd"/>
      <w:r w:rsidRPr="0096271B">
        <w:rPr>
          <w:szCs w:val="24"/>
        </w:rPr>
        <w:t xml:space="preserve"> Minimum </w:t>
      </w:r>
      <w:proofErr w:type="spellStart"/>
      <w:r w:rsidRPr="0096271B">
        <w:rPr>
          <w:szCs w:val="24"/>
        </w:rPr>
        <w:t>Effisie</w:t>
      </w:r>
      <w:r w:rsidRPr="0096271B">
        <w:rPr>
          <w:szCs w:val="24"/>
        </w:rPr>
        <w:t>n</w:t>
      </w:r>
      <w:r w:rsidRPr="0096271B">
        <w:rPr>
          <w:szCs w:val="24"/>
        </w:rPr>
        <w:t>cy</w:t>
      </w:r>
      <w:proofErr w:type="spellEnd"/>
      <w:r w:rsidRPr="0096271B">
        <w:rPr>
          <w:szCs w:val="24"/>
        </w:rPr>
        <w:t xml:space="preserve"> Scale (MES) </w:t>
      </w:r>
      <w:proofErr w:type="spellStart"/>
      <w:r w:rsidRPr="0096271B">
        <w:rPr>
          <w:szCs w:val="24"/>
        </w:rPr>
        <w:t>dapat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diketahui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besarnya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perse</w:t>
      </w:r>
      <w:r w:rsidRPr="0096271B">
        <w:rPr>
          <w:szCs w:val="24"/>
        </w:rPr>
        <w:t>n</w:t>
      </w:r>
      <w:r w:rsidRPr="0096271B">
        <w:rPr>
          <w:szCs w:val="24"/>
        </w:rPr>
        <w:t>tase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hambatan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untuk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masuk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pasar</w:t>
      </w:r>
      <w:proofErr w:type="spellEnd"/>
      <w:r w:rsidRPr="0096271B">
        <w:rPr>
          <w:szCs w:val="24"/>
        </w:rPr>
        <w:t>.</w:t>
      </w:r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Semakin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tinggi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MES, </w:t>
      </w:r>
      <w:proofErr w:type="spellStart"/>
      <w:r w:rsidRPr="0096271B">
        <w:rPr>
          <w:szCs w:val="24"/>
        </w:rPr>
        <w:t>maka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hambatan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untuk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</w:t>
      </w:r>
      <w:r w:rsidRPr="0096271B">
        <w:rPr>
          <w:szCs w:val="24"/>
        </w:rPr>
        <w:t>e</w:t>
      </w:r>
      <w:r w:rsidRPr="0096271B">
        <w:rPr>
          <w:szCs w:val="24"/>
        </w:rPr>
        <w:t>masuki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pasar</w:t>
      </w:r>
      <w:proofErr w:type="spellEnd"/>
      <w:r w:rsidRPr="0096271B">
        <w:rPr>
          <w:szCs w:val="24"/>
        </w:rPr>
        <w:t xml:space="preserve"> </w:t>
      </w:r>
      <w:proofErr w:type="spellStart"/>
      <w:proofErr w:type="gramStart"/>
      <w:r w:rsidRPr="0096271B">
        <w:rPr>
          <w:szCs w:val="24"/>
        </w:rPr>
        <w:t>akan</w:t>
      </w:r>
      <w:proofErr w:type="spellEnd"/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</w:t>
      </w:r>
      <w:r w:rsidRPr="0096271B">
        <w:rPr>
          <w:szCs w:val="24"/>
        </w:rPr>
        <w:t>e</w:t>
      </w:r>
      <w:r w:rsidRPr="0096271B">
        <w:rPr>
          <w:szCs w:val="24"/>
        </w:rPr>
        <w:t>makin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sulit</w:t>
      </w:r>
      <w:proofErr w:type="spellEnd"/>
      <w:r w:rsidRPr="0096271B">
        <w:rPr>
          <w:szCs w:val="24"/>
        </w:rPr>
        <w:t xml:space="preserve"> pula.</w:t>
      </w:r>
    </w:p>
    <w:p w:rsidR="00C95B65" w:rsidRPr="0096271B" w:rsidRDefault="0096271B" w:rsidP="00845E52">
      <w:pPr>
        <w:pStyle w:val="ListParagraph"/>
        <w:numPr>
          <w:ilvl w:val="0"/>
          <w:numId w:val="2"/>
        </w:numPr>
        <w:spacing w:after="0"/>
        <w:rPr>
          <w:b/>
          <w:i/>
          <w:szCs w:val="24"/>
        </w:rPr>
      </w:pPr>
      <w:r w:rsidRPr="0096271B">
        <w:rPr>
          <w:b/>
          <w:bCs/>
          <w:szCs w:val="24"/>
        </w:rPr>
        <w:t xml:space="preserve"> </w:t>
      </w:r>
      <m:oMath>
        <m:sSub>
          <m:sSubPr>
            <m:ctrlPr>
              <w:rPr>
                <w:rFonts w:ascii="Cambria Math" w:eastAsiaTheme="majorEastAsia" w:hAnsi="Cambria Math"/>
                <w:b/>
                <w:bCs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Cs w:val="24"/>
              </w:rPr>
              <m:t>CR</m:t>
            </m:r>
          </m:e>
          <m:sub>
            <m:r>
              <m:rPr>
                <m:sty m:val="b"/>
              </m:rPr>
              <w:rPr>
                <w:rFonts w:ascii="Cambria Math" w:hAnsi="Cambria Math"/>
                <w:szCs w:val="24"/>
              </w:rPr>
              <m:t>4</m:t>
            </m:r>
          </m:sub>
        </m:sSub>
      </m:oMath>
    </w:p>
    <w:p w:rsidR="001F457B" w:rsidRPr="0096271B" w:rsidRDefault="00C40814" w:rsidP="00845E52">
      <w:pPr>
        <w:spacing w:after="0"/>
        <w:ind w:firstLine="720"/>
        <w:rPr>
          <w:szCs w:val="24"/>
        </w:rPr>
      </w:pPr>
      <m:oMath>
        <m:sSub>
          <m:sSubPr>
            <m:ctrlPr>
              <w:rPr>
                <w:rFonts w:ascii="Cambria Math" w:eastAsiaTheme="majorEastAsia" w:hAnsi="Cambria Math"/>
                <w:bCs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4</m:t>
            </m:r>
          </m:sub>
        </m:sSub>
      </m:oMath>
      <w:r w:rsidR="001F457B" w:rsidRPr="0096271B">
        <w:rPr>
          <w:szCs w:val="24"/>
        </w:rPr>
        <w:t xml:space="preserve"> </w:t>
      </w:r>
      <w:proofErr w:type="gramStart"/>
      <w:r w:rsidR="001F457B" w:rsidRPr="0096271B">
        <w:rPr>
          <w:szCs w:val="24"/>
        </w:rPr>
        <w:t>merupakan</w:t>
      </w:r>
      <w:proofErr w:type="gramEnd"/>
      <w:r w:rsidR="001F457B" w:rsidRPr="0096271B">
        <w:rPr>
          <w:szCs w:val="24"/>
        </w:rPr>
        <w:t xml:space="preserve"> konsentrasi dari 4 peru</w:t>
      </w:r>
      <w:r w:rsidR="001F457B" w:rsidRPr="0096271B">
        <w:rPr>
          <w:szCs w:val="24"/>
        </w:rPr>
        <w:t>s</w:t>
      </w:r>
      <w:r w:rsidR="001F457B" w:rsidRPr="0096271B">
        <w:rPr>
          <w:szCs w:val="24"/>
        </w:rPr>
        <w:t>a</w:t>
      </w:r>
      <w:proofErr w:type="spellStart"/>
      <w:r w:rsidR="001F457B" w:rsidRPr="0096271B">
        <w:rPr>
          <w:szCs w:val="24"/>
        </w:rPr>
        <w:t>haan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tertinggi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setiap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tahunnya</w:t>
      </w:r>
      <w:proofErr w:type="spellEnd"/>
      <w:r w:rsidR="001F457B" w:rsidRPr="0096271B">
        <w:rPr>
          <w:szCs w:val="24"/>
        </w:rPr>
        <w:t xml:space="preserve">. </w:t>
      </w:r>
      <w:proofErr w:type="spellStart"/>
      <w:proofErr w:type="gramStart"/>
      <w:r w:rsidR="001F457B" w:rsidRPr="0096271B">
        <w:rPr>
          <w:szCs w:val="24"/>
        </w:rPr>
        <w:t>Tabel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ini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menunjukkan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konsentrasi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perusahaan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mengal</w:t>
      </w:r>
      <w:r w:rsidR="001F457B" w:rsidRPr="0096271B">
        <w:rPr>
          <w:szCs w:val="24"/>
        </w:rPr>
        <w:t>a</w:t>
      </w:r>
      <w:r w:rsidR="001F457B" w:rsidRPr="0096271B">
        <w:rPr>
          <w:szCs w:val="24"/>
        </w:rPr>
        <w:t>mi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naik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turun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atau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berfluktuasi</w:t>
      </w:r>
      <w:proofErr w:type="spellEnd"/>
      <w:r w:rsidR="001F457B" w:rsidRPr="0096271B">
        <w:rPr>
          <w:szCs w:val="24"/>
        </w:rPr>
        <w:t xml:space="preserve"> di </w:t>
      </w:r>
      <w:proofErr w:type="spellStart"/>
      <w:r w:rsidR="001F457B" w:rsidRPr="0096271B">
        <w:rPr>
          <w:szCs w:val="24"/>
        </w:rPr>
        <w:t>setiap</w:t>
      </w:r>
      <w:proofErr w:type="spellEnd"/>
      <w:r w:rsidR="001F457B" w:rsidRPr="0096271B">
        <w:rPr>
          <w:szCs w:val="24"/>
        </w:rPr>
        <w:t xml:space="preserve"> </w:t>
      </w:r>
      <w:proofErr w:type="spellStart"/>
      <w:r w:rsidR="001F457B" w:rsidRPr="0096271B">
        <w:rPr>
          <w:szCs w:val="24"/>
        </w:rPr>
        <w:t>t</w:t>
      </w:r>
      <w:r w:rsidR="001F457B" w:rsidRPr="0096271B">
        <w:rPr>
          <w:szCs w:val="24"/>
        </w:rPr>
        <w:t>a</w:t>
      </w:r>
      <w:r w:rsidR="001F457B" w:rsidRPr="0096271B">
        <w:rPr>
          <w:szCs w:val="24"/>
        </w:rPr>
        <w:t>hunnya</w:t>
      </w:r>
      <w:proofErr w:type="spellEnd"/>
      <w:r w:rsidR="001F457B" w:rsidRPr="0096271B">
        <w:rPr>
          <w:szCs w:val="24"/>
        </w:rPr>
        <w:t>.</w:t>
      </w:r>
      <w:proofErr w:type="gramEnd"/>
      <w:r w:rsidR="001F457B" w:rsidRPr="0096271B">
        <w:rPr>
          <w:szCs w:val="24"/>
        </w:rPr>
        <w:t xml:space="preserve"> </w:t>
      </w:r>
    </w:p>
    <w:p w:rsidR="001F457B" w:rsidRPr="0096271B" w:rsidRDefault="00C95B65" w:rsidP="00845E52">
      <w:pPr>
        <w:tabs>
          <w:tab w:val="left" w:pos="567"/>
        </w:tabs>
        <w:spacing w:after="0"/>
        <w:rPr>
          <w:b/>
          <w:szCs w:val="24"/>
        </w:rPr>
      </w:pPr>
      <w:proofErr w:type="spellStart"/>
      <w:r w:rsidRPr="0096271B">
        <w:rPr>
          <w:b/>
          <w:szCs w:val="24"/>
        </w:rPr>
        <w:t>Hasil</w:t>
      </w:r>
      <w:proofErr w:type="spellEnd"/>
      <w:r w:rsidRPr="0096271B">
        <w:rPr>
          <w:b/>
          <w:szCs w:val="24"/>
        </w:rPr>
        <w:t xml:space="preserve"> </w:t>
      </w:r>
      <w:proofErr w:type="spellStart"/>
      <w:r w:rsidRPr="0096271B">
        <w:rPr>
          <w:b/>
          <w:szCs w:val="24"/>
        </w:rPr>
        <w:t>Regresi</w:t>
      </w:r>
      <w:proofErr w:type="spellEnd"/>
    </w:p>
    <w:p w:rsidR="00C95B65" w:rsidRPr="0096271B" w:rsidRDefault="00C95B65" w:rsidP="00845E52">
      <w:pPr>
        <w:tabs>
          <w:tab w:val="left" w:pos="567"/>
        </w:tabs>
        <w:spacing w:after="0"/>
        <w:rPr>
          <w:szCs w:val="24"/>
        </w:rPr>
      </w:pPr>
      <w:r w:rsidRPr="0096271B">
        <w:rPr>
          <w:noProof/>
          <w:szCs w:val="24"/>
        </w:rPr>
        <w:drawing>
          <wp:inline distT="0" distB="0" distL="0" distR="0" wp14:anchorId="71460CD6" wp14:editId="2767616F">
            <wp:extent cx="2773345" cy="621114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m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0" b="47429"/>
                    <a:stretch/>
                  </pic:blipFill>
                  <pic:spPr bwMode="auto">
                    <a:xfrm>
                      <a:off x="0" y="0"/>
                      <a:ext cx="2787867" cy="624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B65" w:rsidRPr="0096271B" w:rsidRDefault="00C95B65" w:rsidP="00845E52">
      <w:pPr>
        <w:spacing w:after="0"/>
        <w:rPr>
          <w:szCs w:val="24"/>
        </w:rPr>
      </w:pPr>
      <w:r w:rsidRPr="0096271B">
        <w:rPr>
          <w:szCs w:val="24"/>
        </w:rPr>
        <w:t xml:space="preserve">a.) </w:t>
      </w:r>
      <w:proofErr w:type="spellStart"/>
      <w:r w:rsidR="00845E52">
        <w:rPr>
          <w:szCs w:val="24"/>
        </w:rPr>
        <w:t>D</w:t>
      </w:r>
      <w:r w:rsidRPr="0096271B">
        <w:rPr>
          <w:szCs w:val="24"/>
        </w:rPr>
        <w:t>apat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dilihat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ba</w:t>
      </w:r>
      <w:r w:rsidRPr="0096271B">
        <w:rPr>
          <w:szCs w:val="24"/>
        </w:rPr>
        <w:t>h</w:t>
      </w:r>
      <w:r w:rsidRPr="0096271B">
        <w:rPr>
          <w:szCs w:val="24"/>
        </w:rPr>
        <w:t>wa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produktivitas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memiliki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probalitas</w:t>
      </w:r>
      <w:proofErr w:type="spellEnd"/>
      <w:r w:rsidRPr="0096271B">
        <w:rPr>
          <w:szCs w:val="24"/>
        </w:rPr>
        <w:t xml:space="preserve"> &lt; 0</w:t>
      </w:r>
      <w:proofErr w:type="gramStart"/>
      <w:r w:rsidRPr="0096271B">
        <w:rPr>
          <w:szCs w:val="24"/>
        </w:rPr>
        <w:t>,05</w:t>
      </w:r>
      <w:proofErr w:type="gramEnd"/>
      <w:r w:rsidRPr="0096271B">
        <w:rPr>
          <w:szCs w:val="24"/>
        </w:rPr>
        <w:t xml:space="preserve">, </w:t>
      </w:r>
      <w:proofErr w:type="spellStart"/>
      <w:r w:rsidRPr="0096271B">
        <w:rPr>
          <w:szCs w:val="24"/>
        </w:rPr>
        <w:t>yaitu</w:t>
      </w:r>
      <w:proofErr w:type="spellEnd"/>
      <w:r w:rsidRPr="0096271B">
        <w:rPr>
          <w:szCs w:val="24"/>
        </w:rPr>
        <w:t xml:space="preserve"> 0,0038. </w:t>
      </w:r>
      <w:proofErr w:type="spellStart"/>
      <w:proofErr w:type="gramStart"/>
      <w:r w:rsidRPr="0096271B">
        <w:rPr>
          <w:szCs w:val="24"/>
        </w:rPr>
        <w:t>Maka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kep</w:t>
      </w:r>
      <w:r w:rsidRPr="0096271B">
        <w:rPr>
          <w:szCs w:val="24"/>
        </w:rPr>
        <w:t>u</w:t>
      </w:r>
      <w:r w:rsidRPr="0096271B">
        <w:rPr>
          <w:szCs w:val="24"/>
        </w:rPr>
        <w:t>tusannya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adalah</w:t>
      </w:r>
      <w:proofErr w:type="spellEnd"/>
      <w:r w:rsidRPr="0096271B">
        <w:rPr>
          <w:szCs w:val="24"/>
        </w:rPr>
        <w:t xml:space="preserve"> Hₒ </w:t>
      </w:r>
      <w:proofErr w:type="spellStart"/>
      <w:r w:rsidRPr="0096271B">
        <w:rPr>
          <w:szCs w:val="24"/>
        </w:rPr>
        <w:t>ditolak</w:t>
      </w:r>
      <w:proofErr w:type="spellEnd"/>
      <w:r w:rsidRPr="0096271B">
        <w:rPr>
          <w:szCs w:val="24"/>
        </w:rPr>
        <w:t xml:space="preserve"> Hₐ</w:t>
      </w:r>
      <w:r w:rsidR="00845E52">
        <w:rPr>
          <w:szCs w:val="24"/>
        </w:rPr>
        <w:t>.</w:t>
      </w:r>
      <w:proofErr w:type="gramEnd"/>
      <w:r w:rsidRPr="0096271B">
        <w:rPr>
          <w:szCs w:val="24"/>
        </w:rPr>
        <w:t xml:space="preserve"> </w:t>
      </w:r>
    </w:p>
    <w:p w:rsidR="00C95B65" w:rsidRPr="0096271B" w:rsidRDefault="00C95B65" w:rsidP="002F5D2D">
      <w:pPr>
        <w:rPr>
          <w:szCs w:val="24"/>
        </w:rPr>
      </w:pPr>
      <w:r w:rsidRPr="0096271B">
        <w:rPr>
          <w:szCs w:val="24"/>
        </w:rPr>
        <w:lastRenderedPageBreak/>
        <w:t xml:space="preserve">b.) </w:t>
      </w:r>
      <w:proofErr w:type="spellStart"/>
      <w:r w:rsidR="00845E52">
        <w:rPr>
          <w:szCs w:val="24"/>
        </w:rPr>
        <w:t>D</w:t>
      </w:r>
      <w:r w:rsidRPr="0096271B">
        <w:rPr>
          <w:szCs w:val="24"/>
        </w:rPr>
        <w:t>apat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dilihat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bahwa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xeff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memiliki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probalitas</w:t>
      </w:r>
      <w:proofErr w:type="spellEnd"/>
      <w:r w:rsidRPr="0096271B">
        <w:rPr>
          <w:szCs w:val="24"/>
        </w:rPr>
        <w:t xml:space="preserve"> &lt;0</w:t>
      </w:r>
      <w:proofErr w:type="gramStart"/>
      <w:r w:rsidRPr="0096271B">
        <w:rPr>
          <w:szCs w:val="24"/>
        </w:rPr>
        <w:t>,05</w:t>
      </w:r>
      <w:proofErr w:type="gramEnd"/>
      <w:r w:rsidRPr="0096271B">
        <w:rPr>
          <w:szCs w:val="24"/>
        </w:rPr>
        <w:t xml:space="preserve">, </w:t>
      </w:r>
      <w:proofErr w:type="spellStart"/>
      <w:r w:rsidRPr="0096271B">
        <w:rPr>
          <w:szCs w:val="24"/>
        </w:rPr>
        <w:t>yaitu</w:t>
      </w:r>
      <w:proofErr w:type="spellEnd"/>
      <w:r w:rsidRPr="0096271B">
        <w:rPr>
          <w:szCs w:val="24"/>
        </w:rPr>
        <w:t xml:space="preserve"> 0,0097. </w:t>
      </w:r>
      <w:proofErr w:type="spellStart"/>
      <w:proofErr w:type="gramStart"/>
      <w:r w:rsidRPr="0096271B">
        <w:rPr>
          <w:szCs w:val="24"/>
        </w:rPr>
        <w:t>Maka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kep</w:t>
      </w:r>
      <w:r w:rsidRPr="0096271B">
        <w:rPr>
          <w:szCs w:val="24"/>
        </w:rPr>
        <w:t>u</w:t>
      </w:r>
      <w:r w:rsidRPr="0096271B">
        <w:rPr>
          <w:szCs w:val="24"/>
        </w:rPr>
        <w:t>tusannya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Maka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kep</w:t>
      </w:r>
      <w:r w:rsidRPr="0096271B">
        <w:rPr>
          <w:szCs w:val="24"/>
        </w:rPr>
        <w:t>u</w:t>
      </w:r>
      <w:r w:rsidRPr="0096271B">
        <w:rPr>
          <w:szCs w:val="24"/>
        </w:rPr>
        <w:t>tusannya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adalah</w:t>
      </w:r>
      <w:proofErr w:type="spellEnd"/>
      <w:r w:rsidRPr="0096271B">
        <w:rPr>
          <w:szCs w:val="24"/>
        </w:rPr>
        <w:t xml:space="preserve"> Hₒ </w:t>
      </w:r>
      <w:proofErr w:type="spellStart"/>
      <w:r w:rsidRPr="0096271B">
        <w:rPr>
          <w:szCs w:val="24"/>
        </w:rPr>
        <w:t>ditolak</w:t>
      </w:r>
      <w:proofErr w:type="spellEnd"/>
      <w:r w:rsidRPr="0096271B">
        <w:rPr>
          <w:szCs w:val="24"/>
        </w:rPr>
        <w:t xml:space="preserve"> Hₐ </w:t>
      </w:r>
      <w:proofErr w:type="spellStart"/>
      <w:r w:rsidRPr="0096271B">
        <w:rPr>
          <w:szCs w:val="24"/>
        </w:rPr>
        <w:t>diterima</w:t>
      </w:r>
      <w:proofErr w:type="spellEnd"/>
      <w:r w:rsidR="00845E52">
        <w:rPr>
          <w:szCs w:val="24"/>
        </w:rPr>
        <w:t>.</w:t>
      </w:r>
      <w:proofErr w:type="gramEnd"/>
    </w:p>
    <w:p w:rsidR="00C95B65" w:rsidRPr="0096271B" w:rsidRDefault="00C95B65" w:rsidP="002F5D2D">
      <w:pPr>
        <w:tabs>
          <w:tab w:val="left" w:pos="567"/>
        </w:tabs>
        <w:rPr>
          <w:szCs w:val="24"/>
        </w:rPr>
      </w:pPr>
      <w:proofErr w:type="spellStart"/>
      <w:r w:rsidRPr="0096271B">
        <w:rPr>
          <w:szCs w:val="24"/>
        </w:rPr>
        <w:t>Kesimpulan</w:t>
      </w:r>
      <w:proofErr w:type="spellEnd"/>
    </w:p>
    <w:p w:rsidR="0096271B" w:rsidRDefault="002F5D2D" w:rsidP="002F5D2D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P</w:t>
      </w:r>
      <w:r w:rsidR="0096271B" w:rsidRPr="0096271B">
        <w:rPr>
          <w:szCs w:val="24"/>
        </w:rPr>
        <w:t>roduktivitas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berpengaruh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positif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dan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signifikan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terhadap</w:t>
      </w:r>
      <w:proofErr w:type="spellEnd"/>
      <w:r w:rsidR="0096271B" w:rsidRPr="0096271B">
        <w:rPr>
          <w:szCs w:val="24"/>
        </w:rPr>
        <w:t xml:space="preserve"> PCM. Hal </w:t>
      </w:r>
      <w:proofErr w:type="spellStart"/>
      <w:r w:rsidR="0096271B" w:rsidRPr="0096271B">
        <w:rPr>
          <w:szCs w:val="24"/>
        </w:rPr>
        <w:t>ini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sesuai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dengan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hipotesis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karena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semakin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tinggi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produktivitas</w:t>
      </w:r>
      <w:proofErr w:type="spellEnd"/>
      <w:r w:rsidR="0096271B" w:rsidRPr="0096271B">
        <w:rPr>
          <w:szCs w:val="24"/>
        </w:rPr>
        <w:t xml:space="preserve"> yang </w:t>
      </w:r>
      <w:proofErr w:type="spellStart"/>
      <w:r w:rsidR="0096271B" w:rsidRPr="0096271B">
        <w:rPr>
          <w:szCs w:val="24"/>
        </w:rPr>
        <w:t>dihasilkan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maka</w:t>
      </w:r>
      <w:proofErr w:type="spellEnd"/>
      <w:r w:rsidR="0096271B" w:rsidRPr="0096271B">
        <w:rPr>
          <w:szCs w:val="24"/>
        </w:rPr>
        <w:t xml:space="preserve"> </w:t>
      </w:r>
      <w:proofErr w:type="spellStart"/>
      <w:proofErr w:type="gramStart"/>
      <w:r w:rsidR="0096271B" w:rsidRPr="0096271B">
        <w:rPr>
          <w:szCs w:val="24"/>
        </w:rPr>
        <w:t>akan</w:t>
      </w:r>
      <w:proofErr w:type="spellEnd"/>
      <w:proofErr w:type="gram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meningkatkan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keutungan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pada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suatu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i</w:t>
      </w:r>
      <w:r w:rsidR="0096271B" w:rsidRPr="0096271B">
        <w:rPr>
          <w:szCs w:val="24"/>
        </w:rPr>
        <w:t>n</w:t>
      </w:r>
      <w:r w:rsidR="0096271B" w:rsidRPr="0096271B">
        <w:rPr>
          <w:szCs w:val="24"/>
        </w:rPr>
        <w:t>dustri</w:t>
      </w:r>
      <w:proofErr w:type="spellEnd"/>
      <w:r w:rsidR="0096271B" w:rsidRPr="0096271B">
        <w:rPr>
          <w:szCs w:val="24"/>
        </w:rPr>
        <w:t xml:space="preserve">. </w:t>
      </w:r>
    </w:p>
    <w:p w:rsidR="0096271B" w:rsidRPr="0096271B" w:rsidRDefault="002F5D2D" w:rsidP="002F5D2D">
      <w:pPr>
        <w:pStyle w:val="ListParagraph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X</w:t>
      </w:r>
      <w:r w:rsidR="0096271B" w:rsidRPr="0096271B">
        <w:rPr>
          <w:szCs w:val="24"/>
        </w:rPr>
        <w:t>eff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berpengaruh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positif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dan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signifikan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terhadap</w:t>
      </w:r>
      <w:proofErr w:type="spellEnd"/>
      <w:r w:rsidR="0096271B" w:rsidRPr="0096271B">
        <w:rPr>
          <w:szCs w:val="24"/>
        </w:rPr>
        <w:t xml:space="preserve"> PCM. </w:t>
      </w:r>
      <w:proofErr w:type="spellStart"/>
      <w:r w:rsidR="0096271B" w:rsidRPr="0096271B">
        <w:rPr>
          <w:szCs w:val="24"/>
        </w:rPr>
        <w:t>Hubungan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antara</w:t>
      </w:r>
      <w:proofErr w:type="spellEnd"/>
      <w:r w:rsidR="0096271B" w:rsidRPr="0096271B">
        <w:rPr>
          <w:szCs w:val="24"/>
        </w:rPr>
        <w:t xml:space="preserve"> x-</w:t>
      </w:r>
      <w:proofErr w:type="spellStart"/>
      <w:r w:rsidR="0096271B" w:rsidRPr="0096271B">
        <w:rPr>
          <w:szCs w:val="24"/>
        </w:rPr>
        <w:t>eff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dan</w:t>
      </w:r>
      <w:proofErr w:type="spellEnd"/>
      <w:r w:rsidR="0096271B" w:rsidRPr="0096271B">
        <w:rPr>
          <w:szCs w:val="24"/>
        </w:rPr>
        <w:t xml:space="preserve"> PCM </w:t>
      </w:r>
      <w:proofErr w:type="spellStart"/>
      <w:r w:rsidR="0096271B" w:rsidRPr="0096271B">
        <w:rPr>
          <w:szCs w:val="24"/>
        </w:rPr>
        <w:t>tentu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jelas</w:t>
      </w:r>
      <w:proofErr w:type="spellEnd"/>
      <w:r w:rsidR="0096271B" w:rsidRPr="0096271B">
        <w:rPr>
          <w:szCs w:val="24"/>
        </w:rPr>
        <w:t xml:space="preserve"> </w:t>
      </w:r>
      <w:proofErr w:type="spellStart"/>
      <w:proofErr w:type="gramStart"/>
      <w:r w:rsidR="0096271B" w:rsidRPr="0096271B">
        <w:rPr>
          <w:szCs w:val="24"/>
        </w:rPr>
        <w:t>akan</w:t>
      </w:r>
      <w:proofErr w:type="spellEnd"/>
      <w:proofErr w:type="gram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saling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be</w:t>
      </w:r>
      <w:r w:rsidR="0096271B" w:rsidRPr="0096271B">
        <w:rPr>
          <w:szCs w:val="24"/>
        </w:rPr>
        <w:t>r</w:t>
      </w:r>
      <w:r w:rsidR="0096271B" w:rsidRPr="0096271B">
        <w:rPr>
          <w:szCs w:val="24"/>
        </w:rPr>
        <w:t>pengaruh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karena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efisiensi</w:t>
      </w:r>
      <w:proofErr w:type="spellEnd"/>
      <w:r w:rsidR="0096271B" w:rsidRPr="0096271B">
        <w:rPr>
          <w:szCs w:val="24"/>
        </w:rPr>
        <w:t xml:space="preserve"> internal (x-</w:t>
      </w:r>
      <w:proofErr w:type="spellStart"/>
      <w:r w:rsidR="0096271B" w:rsidRPr="0096271B">
        <w:rPr>
          <w:szCs w:val="24"/>
        </w:rPr>
        <w:t>eff</w:t>
      </w:r>
      <w:proofErr w:type="spellEnd"/>
      <w:r w:rsidR="0096271B" w:rsidRPr="0096271B">
        <w:rPr>
          <w:szCs w:val="24"/>
        </w:rPr>
        <w:t xml:space="preserve">) </w:t>
      </w:r>
      <w:proofErr w:type="spellStart"/>
      <w:r w:rsidR="0096271B" w:rsidRPr="0096271B">
        <w:rPr>
          <w:szCs w:val="24"/>
        </w:rPr>
        <w:t>menggambarkan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kemampuan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suatu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i</w:t>
      </w:r>
      <w:r w:rsidR="0096271B" w:rsidRPr="0096271B">
        <w:rPr>
          <w:szCs w:val="24"/>
        </w:rPr>
        <w:t>n</w:t>
      </w:r>
      <w:r w:rsidR="0096271B" w:rsidRPr="0096271B">
        <w:rPr>
          <w:szCs w:val="24"/>
        </w:rPr>
        <w:t>dustri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untuk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menekan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biaya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produksinya</w:t>
      </w:r>
      <w:proofErr w:type="spellEnd"/>
      <w:r w:rsidR="0096271B" w:rsidRPr="0096271B">
        <w:rPr>
          <w:szCs w:val="24"/>
        </w:rPr>
        <w:t xml:space="preserve">, </w:t>
      </w:r>
      <w:proofErr w:type="spellStart"/>
      <w:r w:rsidR="0096271B" w:rsidRPr="0096271B">
        <w:rPr>
          <w:szCs w:val="24"/>
        </w:rPr>
        <w:t>semakin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efisien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maka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s</w:t>
      </w:r>
      <w:r w:rsidR="0096271B" w:rsidRPr="0096271B">
        <w:rPr>
          <w:szCs w:val="24"/>
        </w:rPr>
        <w:t>e</w:t>
      </w:r>
      <w:r w:rsidR="0096271B" w:rsidRPr="0096271B">
        <w:rPr>
          <w:szCs w:val="24"/>
        </w:rPr>
        <w:t>makin</w:t>
      </w:r>
      <w:proofErr w:type="spellEnd"/>
      <w:r w:rsidR="0096271B" w:rsidRPr="0096271B">
        <w:rPr>
          <w:szCs w:val="24"/>
        </w:rPr>
        <w:t xml:space="preserve"> </w:t>
      </w:r>
      <w:proofErr w:type="spellStart"/>
      <w:r w:rsidR="0096271B" w:rsidRPr="0096271B">
        <w:rPr>
          <w:szCs w:val="24"/>
        </w:rPr>
        <w:t>besar</w:t>
      </w:r>
      <w:proofErr w:type="spellEnd"/>
      <w:r w:rsidR="0096271B" w:rsidRPr="0096271B">
        <w:rPr>
          <w:szCs w:val="24"/>
        </w:rPr>
        <w:t xml:space="preserve"> pula </w:t>
      </w:r>
      <w:proofErr w:type="spellStart"/>
      <w:r w:rsidR="0096271B" w:rsidRPr="0096271B">
        <w:rPr>
          <w:szCs w:val="24"/>
        </w:rPr>
        <w:t>keuntungan</w:t>
      </w:r>
      <w:proofErr w:type="spellEnd"/>
      <w:r w:rsidR="0096271B" w:rsidRPr="0096271B">
        <w:rPr>
          <w:szCs w:val="24"/>
        </w:rPr>
        <w:t xml:space="preserve"> yang </w:t>
      </w:r>
      <w:proofErr w:type="spellStart"/>
      <w:r w:rsidR="0096271B" w:rsidRPr="0096271B">
        <w:rPr>
          <w:szCs w:val="24"/>
        </w:rPr>
        <w:t>d</w:t>
      </w:r>
      <w:r w:rsidR="0096271B" w:rsidRPr="0096271B">
        <w:rPr>
          <w:szCs w:val="24"/>
        </w:rPr>
        <w:t>i</w:t>
      </w:r>
      <w:r w:rsidR="0096271B" w:rsidRPr="0096271B">
        <w:rPr>
          <w:szCs w:val="24"/>
        </w:rPr>
        <w:t>peroleh</w:t>
      </w:r>
      <w:proofErr w:type="spellEnd"/>
      <w:r w:rsidR="0096271B" w:rsidRPr="0096271B">
        <w:rPr>
          <w:szCs w:val="24"/>
        </w:rPr>
        <w:t>.</w:t>
      </w:r>
    </w:p>
    <w:p w:rsidR="0096271B" w:rsidRPr="0096271B" w:rsidRDefault="0096271B" w:rsidP="002F5D2D">
      <w:pPr>
        <w:pStyle w:val="ListParagraph"/>
        <w:numPr>
          <w:ilvl w:val="0"/>
          <w:numId w:val="1"/>
        </w:numPr>
        <w:tabs>
          <w:tab w:val="left" w:pos="360"/>
        </w:tabs>
        <w:rPr>
          <w:szCs w:val="24"/>
        </w:rPr>
      </w:pPr>
      <w:proofErr w:type="spellStart"/>
      <w:r w:rsidRPr="0096271B">
        <w:rPr>
          <w:szCs w:val="24"/>
        </w:rPr>
        <w:t>Struktur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pasar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pada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industri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ini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</w:t>
      </w:r>
      <w:r w:rsidRPr="0096271B">
        <w:rPr>
          <w:szCs w:val="24"/>
        </w:rPr>
        <w:t>i</w:t>
      </w:r>
      <w:r w:rsidRPr="0096271B">
        <w:rPr>
          <w:szCs w:val="24"/>
        </w:rPr>
        <w:t>peroleh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melalui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pendekatan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konse</w:t>
      </w:r>
      <w:r w:rsidRPr="0096271B">
        <w:rPr>
          <w:szCs w:val="24"/>
        </w:rPr>
        <w:t>n</w:t>
      </w:r>
      <w:r w:rsidRPr="0096271B">
        <w:rPr>
          <w:szCs w:val="24"/>
        </w:rPr>
        <w:t>trasi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rasio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hambatan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masuk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pasar</w:t>
      </w:r>
      <w:proofErr w:type="spellEnd"/>
      <w:r w:rsidRPr="0096271B">
        <w:rPr>
          <w:szCs w:val="24"/>
        </w:rPr>
        <w:t xml:space="preserve">. </w:t>
      </w:r>
      <w:proofErr w:type="spellStart"/>
      <w:r w:rsidRPr="0096271B">
        <w:rPr>
          <w:szCs w:val="24"/>
        </w:rPr>
        <w:t>Struktur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pasar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industri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konstruksi</w:t>
      </w:r>
      <w:proofErr w:type="spellEnd"/>
      <w:r w:rsidRPr="0096271B">
        <w:rPr>
          <w:szCs w:val="24"/>
        </w:rPr>
        <w:t xml:space="preserve"> di I</w:t>
      </w:r>
      <w:r w:rsidRPr="0096271B">
        <w:rPr>
          <w:szCs w:val="24"/>
        </w:rPr>
        <w:t>n</w:t>
      </w:r>
      <w:r w:rsidRPr="0096271B">
        <w:rPr>
          <w:szCs w:val="24"/>
        </w:rPr>
        <w:t xml:space="preserve">donesia </w:t>
      </w:r>
      <w:proofErr w:type="spellStart"/>
      <w:r w:rsidRPr="0096271B">
        <w:rPr>
          <w:szCs w:val="24"/>
        </w:rPr>
        <w:t>bersifat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oligopoli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dengan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besaran</w:t>
      </w:r>
      <w:proofErr w:type="spellEnd"/>
      <w:r w:rsidRPr="0096271B">
        <w:rPr>
          <w:szCs w:val="24"/>
        </w:rPr>
        <w:t xml:space="preserve"> rata- rata </w:t>
      </w:r>
      <w:proofErr w:type="spellStart"/>
      <w:r w:rsidRPr="0096271B">
        <w:rPr>
          <w:szCs w:val="24"/>
        </w:rPr>
        <w:t>ko</w:t>
      </w:r>
      <w:r w:rsidRPr="0096271B">
        <w:rPr>
          <w:szCs w:val="24"/>
        </w:rPr>
        <w:t>n</w:t>
      </w:r>
      <w:r w:rsidRPr="0096271B">
        <w:rPr>
          <w:szCs w:val="24"/>
        </w:rPr>
        <w:t>sentrasi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rasio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seb</w:t>
      </w:r>
      <w:r w:rsidRPr="0096271B">
        <w:rPr>
          <w:szCs w:val="24"/>
        </w:rPr>
        <w:t>e</w:t>
      </w:r>
      <w:r w:rsidRPr="0096271B">
        <w:rPr>
          <w:szCs w:val="24"/>
        </w:rPr>
        <w:t>sar</w:t>
      </w:r>
      <w:proofErr w:type="spellEnd"/>
      <w:r w:rsidRPr="0096271B">
        <w:rPr>
          <w:szCs w:val="24"/>
        </w:rPr>
        <w:t xml:space="preserve"> 88.37 %,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rata-rata </w:t>
      </w:r>
      <w:proofErr w:type="spellStart"/>
      <w:r w:rsidRPr="0096271B">
        <w:rPr>
          <w:szCs w:val="24"/>
        </w:rPr>
        <w:t>hambatan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masuk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pasar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sebesar</w:t>
      </w:r>
      <w:proofErr w:type="spellEnd"/>
      <w:r w:rsidRPr="0096271B">
        <w:rPr>
          <w:szCs w:val="24"/>
        </w:rPr>
        <w:t xml:space="preserve"> 74.80 %. </w:t>
      </w:r>
    </w:p>
    <w:p w:rsidR="0096271B" w:rsidRPr="0096271B" w:rsidRDefault="0096271B" w:rsidP="002F5D2D">
      <w:pPr>
        <w:pStyle w:val="ListParagraph"/>
        <w:numPr>
          <w:ilvl w:val="0"/>
          <w:numId w:val="1"/>
        </w:numPr>
        <w:jc w:val="left"/>
        <w:rPr>
          <w:szCs w:val="24"/>
        </w:rPr>
      </w:pPr>
      <w:proofErr w:type="spellStart"/>
      <w:r w:rsidRPr="0096271B">
        <w:rPr>
          <w:szCs w:val="24"/>
        </w:rPr>
        <w:t>Perilaku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pasar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pada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industri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ko</w:t>
      </w:r>
      <w:r w:rsidRPr="0096271B">
        <w:rPr>
          <w:szCs w:val="24"/>
        </w:rPr>
        <w:t>n</w:t>
      </w:r>
      <w:r w:rsidRPr="0096271B">
        <w:rPr>
          <w:szCs w:val="24"/>
        </w:rPr>
        <w:t>struksi</w:t>
      </w:r>
      <w:proofErr w:type="spellEnd"/>
      <w:r w:rsidRPr="0096271B">
        <w:rPr>
          <w:szCs w:val="24"/>
        </w:rPr>
        <w:t xml:space="preserve"> di Indonesia </w:t>
      </w:r>
      <w:proofErr w:type="spellStart"/>
      <w:r w:rsidRPr="0096271B">
        <w:rPr>
          <w:szCs w:val="24"/>
        </w:rPr>
        <w:t>dapat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dilihat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strategi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ha</w:t>
      </w:r>
      <w:r w:rsidRPr="0096271B">
        <w:rPr>
          <w:szCs w:val="24"/>
        </w:rPr>
        <w:t>r</w:t>
      </w:r>
      <w:r w:rsidRPr="0096271B">
        <w:rPr>
          <w:szCs w:val="24"/>
        </w:rPr>
        <w:t>ga</w:t>
      </w:r>
      <w:proofErr w:type="spellEnd"/>
      <w:r w:rsidRPr="0096271B">
        <w:rPr>
          <w:szCs w:val="24"/>
        </w:rPr>
        <w:t xml:space="preserve">, </w:t>
      </w:r>
      <w:proofErr w:type="spellStart"/>
      <w:r w:rsidRPr="0096271B">
        <w:rPr>
          <w:szCs w:val="24"/>
        </w:rPr>
        <w:t>strategi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produk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promosi</w:t>
      </w:r>
      <w:proofErr w:type="spellEnd"/>
      <w:r w:rsidRPr="0096271B">
        <w:rPr>
          <w:szCs w:val="24"/>
        </w:rPr>
        <w:t xml:space="preserve">. </w:t>
      </w:r>
      <w:proofErr w:type="spellStart"/>
      <w:r w:rsidRPr="0096271B">
        <w:rPr>
          <w:szCs w:val="24"/>
        </w:rPr>
        <w:t>Strategi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harga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dilakukan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dengan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kolusi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antar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pelaku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pasar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yaitu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menjadikan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biaya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produksi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tertinggi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sebagai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</w:t>
      </w:r>
      <w:r w:rsidRPr="0096271B">
        <w:rPr>
          <w:szCs w:val="24"/>
        </w:rPr>
        <w:t>r</w:t>
      </w:r>
      <w:r w:rsidRPr="0096271B">
        <w:rPr>
          <w:szCs w:val="24"/>
        </w:rPr>
        <w:t>timbangan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harga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penjualan</w:t>
      </w:r>
      <w:proofErr w:type="spellEnd"/>
      <w:r w:rsidRPr="0096271B">
        <w:rPr>
          <w:szCs w:val="24"/>
        </w:rPr>
        <w:t xml:space="preserve">. </w:t>
      </w:r>
      <w:proofErr w:type="spellStart"/>
      <w:r w:rsidRPr="0096271B">
        <w:rPr>
          <w:szCs w:val="24"/>
        </w:rPr>
        <w:t>Strategi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produk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</w:t>
      </w:r>
      <w:r w:rsidRPr="0096271B">
        <w:rPr>
          <w:szCs w:val="24"/>
        </w:rPr>
        <w:t>l</w:t>
      </w:r>
      <w:r w:rsidRPr="0096271B">
        <w:rPr>
          <w:szCs w:val="24"/>
        </w:rPr>
        <w:t>akukan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dengan</w:t>
      </w:r>
      <w:proofErr w:type="spellEnd"/>
      <w:r w:rsidRPr="0096271B">
        <w:rPr>
          <w:szCs w:val="24"/>
        </w:rPr>
        <w:t xml:space="preserve"> </w:t>
      </w:r>
      <w:proofErr w:type="spellStart"/>
      <w:proofErr w:type="gramStart"/>
      <w:r w:rsidRPr="0096271B">
        <w:rPr>
          <w:szCs w:val="24"/>
        </w:rPr>
        <w:t>cara</w:t>
      </w:r>
      <w:proofErr w:type="spellEnd"/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mengklasifikasikan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produk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berdasarkan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ukuran</w:t>
      </w:r>
      <w:proofErr w:type="spellEnd"/>
      <w:r w:rsidRPr="0096271B">
        <w:rPr>
          <w:szCs w:val="24"/>
        </w:rPr>
        <w:t xml:space="preserve">, </w:t>
      </w:r>
      <w:proofErr w:type="spellStart"/>
      <w:r w:rsidRPr="0096271B">
        <w:rPr>
          <w:szCs w:val="24"/>
        </w:rPr>
        <w:t>harga</w:t>
      </w:r>
      <w:proofErr w:type="spellEnd"/>
      <w:r w:rsidRPr="0096271B">
        <w:rPr>
          <w:szCs w:val="24"/>
        </w:rPr>
        <w:t xml:space="preserve">,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manipulasi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penawaran</w:t>
      </w:r>
      <w:proofErr w:type="spellEnd"/>
      <w:r w:rsidRPr="0096271B">
        <w:rPr>
          <w:szCs w:val="24"/>
        </w:rPr>
        <w:t xml:space="preserve">. </w:t>
      </w:r>
      <w:proofErr w:type="spellStart"/>
      <w:r w:rsidRPr="0096271B">
        <w:rPr>
          <w:szCs w:val="24"/>
        </w:rPr>
        <w:t>Sedangkan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strategi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promosi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</w:t>
      </w:r>
      <w:r w:rsidRPr="0096271B">
        <w:rPr>
          <w:szCs w:val="24"/>
        </w:rPr>
        <w:t>l</w:t>
      </w:r>
      <w:r w:rsidRPr="0096271B">
        <w:rPr>
          <w:szCs w:val="24"/>
        </w:rPr>
        <w:t>akukan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melalui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iklan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secara</w:t>
      </w:r>
      <w:proofErr w:type="spellEnd"/>
      <w:r w:rsidRPr="0096271B">
        <w:rPr>
          <w:szCs w:val="24"/>
        </w:rPr>
        <w:t xml:space="preserve"> visual.</w:t>
      </w:r>
    </w:p>
    <w:p w:rsidR="0096271B" w:rsidRPr="0096271B" w:rsidRDefault="0096271B" w:rsidP="002F5D2D">
      <w:pPr>
        <w:pStyle w:val="ListParagraph"/>
        <w:rPr>
          <w:szCs w:val="24"/>
        </w:rPr>
      </w:pPr>
    </w:p>
    <w:p w:rsidR="0096271B" w:rsidRPr="002F5D2D" w:rsidRDefault="0096271B" w:rsidP="002F5D2D">
      <w:pPr>
        <w:pStyle w:val="ListParagraph"/>
        <w:numPr>
          <w:ilvl w:val="0"/>
          <w:numId w:val="1"/>
        </w:numPr>
        <w:tabs>
          <w:tab w:val="left" w:pos="567"/>
        </w:tabs>
        <w:jc w:val="left"/>
        <w:rPr>
          <w:szCs w:val="24"/>
        </w:rPr>
      </w:pPr>
      <w:proofErr w:type="spellStart"/>
      <w:r w:rsidRPr="0096271B">
        <w:rPr>
          <w:szCs w:val="24"/>
        </w:rPr>
        <w:t>Kinerja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industri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konstruksi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dilihat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dari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tingkat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keuntungan</w:t>
      </w:r>
      <w:proofErr w:type="spellEnd"/>
      <w:r w:rsidRPr="0096271B">
        <w:rPr>
          <w:szCs w:val="24"/>
        </w:rPr>
        <w:t xml:space="preserve"> (PCM)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lastRenderedPageBreak/>
        <w:t>efisiensi</w:t>
      </w:r>
      <w:proofErr w:type="spellEnd"/>
      <w:r w:rsidRPr="0096271B">
        <w:rPr>
          <w:szCs w:val="24"/>
        </w:rPr>
        <w:t xml:space="preserve"> internal (X-</w:t>
      </w:r>
      <w:proofErr w:type="spellStart"/>
      <w:r w:rsidRPr="0096271B">
        <w:rPr>
          <w:szCs w:val="24"/>
        </w:rPr>
        <w:t>eff</w:t>
      </w:r>
      <w:proofErr w:type="spellEnd"/>
      <w:r w:rsidRPr="0096271B">
        <w:rPr>
          <w:szCs w:val="24"/>
        </w:rPr>
        <w:t xml:space="preserve">). </w:t>
      </w:r>
      <w:proofErr w:type="spellStart"/>
      <w:r w:rsidRPr="0096271B">
        <w:rPr>
          <w:szCs w:val="24"/>
        </w:rPr>
        <w:t>Nilai</w:t>
      </w:r>
      <w:proofErr w:type="spellEnd"/>
      <w:r w:rsidRPr="0096271B">
        <w:rPr>
          <w:szCs w:val="24"/>
        </w:rPr>
        <w:t xml:space="preserve"> rata-rata PCM </w:t>
      </w:r>
      <w:proofErr w:type="spellStart"/>
      <w:r w:rsidRPr="0096271B">
        <w:rPr>
          <w:szCs w:val="24"/>
        </w:rPr>
        <w:t>periode</w:t>
      </w:r>
      <w:proofErr w:type="spellEnd"/>
      <w:r w:rsidRPr="0096271B">
        <w:rPr>
          <w:szCs w:val="24"/>
        </w:rPr>
        <w:t xml:space="preserve"> 2018-2020 </w:t>
      </w:r>
      <w:proofErr w:type="spellStart"/>
      <w:r w:rsidRPr="0096271B">
        <w:rPr>
          <w:szCs w:val="24"/>
        </w:rPr>
        <w:t>secara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be</w:t>
      </w:r>
      <w:r w:rsidRPr="0096271B">
        <w:rPr>
          <w:szCs w:val="24"/>
        </w:rPr>
        <w:t>r</w:t>
      </w:r>
      <w:r w:rsidRPr="0096271B">
        <w:rPr>
          <w:szCs w:val="24"/>
        </w:rPr>
        <w:t>turut-</w:t>
      </w:r>
      <w:proofErr w:type="gramStart"/>
      <w:r w:rsidRPr="0096271B">
        <w:rPr>
          <w:szCs w:val="24"/>
        </w:rPr>
        <w:t>turut</w:t>
      </w:r>
      <w:proofErr w:type="spellEnd"/>
      <w:r w:rsidRPr="0096271B">
        <w:rPr>
          <w:szCs w:val="24"/>
        </w:rPr>
        <w:t xml:space="preserve">  </w:t>
      </w:r>
      <w:proofErr w:type="spellStart"/>
      <w:r w:rsidRPr="0096271B">
        <w:rPr>
          <w:szCs w:val="24"/>
        </w:rPr>
        <w:t>adalah</w:t>
      </w:r>
      <w:proofErr w:type="spellEnd"/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sebesar</w:t>
      </w:r>
      <w:proofErr w:type="spellEnd"/>
      <w:r w:rsidRPr="0096271B">
        <w:rPr>
          <w:szCs w:val="24"/>
        </w:rPr>
        <w:t xml:space="preserve"> 59.21%, 59.18% </w:t>
      </w:r>
      <w:proofErr w:type="spellStart"/>
      <w:r w:rsidRPr="0096271B">
        <w:rPr>
          <w:szCs w:val="24"/>
        </w:rPr>
        <w:t>dan</w:t>
      </w:r>
      <w:proofErr w:type="spellEnd"/>
      <w:r w:rsidRPr="0096271B">
        <w:rPr>
          <w:szCs w:val="24"/>
        </w:rPr>
        <w:t xml:space="preserve"> 62.48%. </w:t>
      </w:r>
    </w:p>
    <w:p w:rsidR="0096271B" w:rsidRPr="0096271B" w:rsidRDefault="0096271B" w:rsidP="00845E52">
      <w:pPr>
        <w:spacing w:after="0"/>
        <w:rPr>
          <w:b/>
          <w:szCs w:val="24"/>
        </w:rPr>
      </w:pPr>
      <w:r w:rsidRPr="0096271B">
        <w:rPr>
          <w:b/>
          <w:szCs w:val="24"/>
        </w:rPr>
        <w:t>UCAPAN TERIMAKASIH</w:t>
      </w:r>
    </w:p>
    <w:p w:rsidR="0096271B" w:rsidRPr="0096271B" w:rsidRDefault="00845E52" w:rsidP="00845E52">
      <w:pPr>
        <w:spacing w:after="0"/>
        <w:ind w:left="90" w:firstLine="180"/>
        <w:rPr>
          <w:szCs w:val="24"/>
        </w:rPr>
      </w:pPr>
      <w:proofErr w:type="spellStart"/>
      <w:r>
        <w:rPr>
          <w:szCs w:val="24"/>
        </w:rPr>
        <w:t>Terimakasih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ucapkan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Allah </w:t>
      </w:r>
      <w:proofErr w:type="spellStart"/>
      <w:r>
        <w:rPr>
          <w:szCs w:val="24"/>
        </w:rPr>
        <w:t>SWT</w:t>
      </w:r>
      <w:proofErr w:type="gramStart"/>
      <w:r>
        <w:rPr>
          <w:szCs w:val="24"/>
        </w:rPr>
        <w:t>,Orang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tua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Ibu</w:t>
      </w:r>
      <w:proofErr w:type="spellEnd"/>
      <w:r>
        <w:rPr>
          <w:szCs w:val="24"/>
        </w:rPr>
        <w:t xml:space="preserve"> Dr. </w:t>
      </w:r>
      <w:proofErr w:type="spellStart"/>
      <w:r>
        <w:rPr>
          <w:szCs w:val="24"/>
        </w:rPr>
        <w:t>Erni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Febrina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Harahap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SE.MSi</w:t>
      </w:r>
      <w:proofErr w:type="spellEnd"/>
      <w:r>
        <w:rPr>
          <w:szCs w:val="24"/>
        </w:rPr>
        <w:t>.</w:t>
      </w:r>
    </w:p>
    <w:p w:rsidR="0096271B" w:rsidRPr="0096271B" w:rsidRDefault="0096271B" w:rsidP="002F5D2D">
      <w:pPr>
        <w:pStyle w:val="Heading1"/>
        <w:spacing w:line="276" w:lineRule="auto"/>
        <w:ind w:left="0"/>
        <w:jc w:val="both"/>
        <w:rPr>
          <w:sz w:val="24"/>
        </w:rPr>
      </w:pPr>
      <w:bookmarkStart w:id="0" w:name="_Toc95433268"/>
      <w:proofErr w:type="spellStart"/>
      <w:r w:rsidRPr="0096271B">
        <w:rPr>
          <w:sz w:val="24"/>
        </w:rPr>
        <w:t>Daftar</w:t>
      </w:r>
      <w:proofErr w:type="spellEnd"/>
      <w:r w:rsidRPr="0096271B">
        <w:rPr>
          <w:sz w:val="24"/>
        </w:rPr>
        <w:t xml:space="preserve"> </w:t>
      </w:r>
      <w:proofErr w:type="spellStart"/>
      <w:r w:rsidRPr="0096271B">
        <w:rPr>
          <w:sz w:val="24"/>
        </w:rPr>
        <w:t>Pustaka</w:t>
      </w:r>
      <w:bookmarkEnd w:id="0"/>
      <w:proofErr w:type="spellEnd"/>
    </w:p>
    <w:p w:rsidR="0096271B" w:rsidRPr="0096271B" w:rsidRDefault="0096271B" w:rsidP="002F5D2D">
      <w:pPr>
        <w:ind w:left="567" w:hanging="567"/>
        <w:rPr>
          <w:szCs w:val="24"/>
        </w:rPr>
      </w:pPr>
      <w:proofErr w:type="spellStart"/>
      <w:r w:rsidRPr="0096271B">
        <w:rPr>
          <w:szCs w:val="24"/>
        </w:rPr>
        <w:t>Baridwan</w:t>
      </w:r>
      <w:proofErr w:type="spellEnd"/>
      <w:r w:rsidRPr="0096271B">
        <w:rPr>
          <w:szCs w:val="24"/>
        </w:rPr>
        <w:t>, Z., 2004, Intermediate Accoun</w:t>
      </w:r>
      <w:r w:rsidRPr="0096271B">
        <w:rPr>
          <w:szCs w:val="24"/>
        </w:rPr>
        <w:t>t</w:t>
      </w:r>
      <w:r w:rsidRPr="0096271B">
        <w:rPr>
          <w:szCs w:val="24"/>
        </w:rPr>
        <w:t>ing, Yogyakarta: BPFE</w:t>
      </w:r>
    </w:p>
    <w:p w:rsidR="0096271B" w:rsidRPr="0096271B" w:rsidRDefault="0096271B" w:rsidP="002F5D2D">
      <w:pPr>
        <w:ind w:left="567" w:hanging="567"/>
        <w:rPr>
          <w:szCs w:val="24"/>
        </w:rPr>
      </w:pPr>
      <w:proofErr w:type="spellStart"/>
      <w:proofErr w:type="gramStart"/>
      <w:r w:rsidRPr="0096271B">
        <w:rPr>
          <w:szCs w:val="24"/>
        </w:rPr>
        <w:t>Bringham</w:t>
      </w:r>
      <w:proofErr w:type="spellEnd"/>
      <w:r w:rsidRPr="0096271B">
        <w:rPr>
          <w:szCs w:val="24"/>
        </w:rPr>
        <w:t xml:space="preserve"> E.F. and Houston J.F. 2011.</w:t>
      </w:r>
      <w:proofErr w:type="gramEnd"/>
      <w:r w:rsidRPr="0096271B">
        <w:rPr>
          <w:szCs w:val="24"/>
        </w:rPr>
        <w:t xml:space="preserve"> Esse</w:t>
      </w:r>
      <w:r w:rsidRPr="0096271B">
        <w:rPr>
          <w:szCs w:val="24"/>
        </w:rPr>
        <w:t>n</w:t>
      </w:r>
      <w:r w:rsidRPr="0096271B">
        <w:rPr>
          <w:szCs w:val="24"/>
        </w:rPr>
        <w:t xml:space="preserve">tials of Financial Management: </w:t>
      </w:r>
      <w:proofErr w:type="spellStart"/>
      <w:r w:rsidRPr="0096271B">
        <w:rPr>
          <w:szCs w:val="24"/>
        </w:rPr>
        <w:t>D</w:t>
      </w:r>
      <w:r w:rsidRPr="0096271B">
        <w:rPr>
          <w:szCs w:val="24"/>
        </w:rPr>
        <w:t>a</w:t>
      </w:r>
      <w:r w:rsidRPr="0096271B">
        <w:rPr>
          <w:szCs w:val="24"/>
        </w:rPr>
        <w:t>sar-Dasar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Manajemen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Keuangan</w:t>
      </w:r>
      <w:proofErr w:type="spellEnd"/>
      <w:r w:rsidRPr="0096271B">
        <w:rPr>
          <w:szCs w:val="24"/>
        </w:rPr>
        <w:t xml:space="preserve">. </w:t>
      </w:r>
      <w:proofErr w:type="spellStart"/>
      <w:r w:rsidRPr="0096271B">
        <w:rPr>
          <w:szCs w:val="24"/>
        </w:rPr>
        <w:t>Pe</w:t>
      </w:r>
      <w:r w:rsidRPr="0096271B">
        <w:rPr>
          <w:szCs w:val="24"/>
        </w:rPr>
        <w:t>n</w:t>
      </w:r>
      <w:r w:rsidRPr="0096271B">
        <w:rPr>
          <w:szCs w:val="24"/>
        </w:rPr>
        <w:t>erjemah</w:t>
      </w:r>
      <w:proofErr w:type="spellEnd"/>
      <w:r w:rsidRPr="0096271B">
        <w:rPr>
          <w:szCs w:val="24"/>
        </w:rPr>
        <w:t xml:space="preserve"> Ali Akbar </w:t>
      </w:r>
      <w:proofErr w:type="spellStart"/>
      <w:r w:rsidRPr="0096271B">
        <w:rPr>
          <w:szCs w:val="24"/>
        </w:rPr>
        <w:t>Yulianto</w:t>
      </w:r>
      <w:proofErr w:type="spellEnd"/>
      <w:r w:rsidRPr="0096271B">
        <w:rPr>
          <w:szCs w:val="24"/>
        </w:rPr>
        <w:t xml:space="preserve">. </w:t>
      </w:r>
      <w:proofErr w:type="spellStart"/>
      <w:r w:rsidRPr="0096271B">
        <w:rPr>
          <w:szCs w:val="24"/>
        </w:rPr>
        <w:t>Edisi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Kesebelas</w:t>
      </w:r>
      <w:proofErr w:type="spellEnd"/>
      <w:r w:rsidRPr="0096271B">
        <w:rPr>
          <w:szCs w:val="24"/>
        </w:rPr>
        <w:t xml:space="preserve">. </w:t>
      </w:r>
      <w:proofErr w:type="spellStart"/>
      <w:proofErr w:type="gramStart"/>
      <w:r w:rsidRPr="0096271B">
        <w:rPr>
          <w:szCs w:val="24"/>
        </w:rPr>
        <w:t>Edisi</w:t>
      </w:r>
      <w:proofErr w:type="spellEnd"/>
      <w:r w:rsidRPr="0096271B">
        <w:rPr>
          <w:szCs w:val="24"/>
        </w:rPr>
        <w:t xml:space="preserve"> Indonesia.</w:t>
      </w:r>
      <w:proofErr w:type="gram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Buku</w:t>
      </w:r>
      <w:proofErr w:type="spellEnd"/>
      <w:r w:rsidRPr="0096271B">
        <w:rPr>
          <w:szCs w:val="24"/>
        </w:rPr>
        <w:t xml:space="preserve"> I. Jakarta: </w:t>
      </w:r>
      <w:proofErr w:type="spellStart"/>
      <w:r w:rsidRPr="0096271B">
        <w:rPr>
          <w:szCs w:val="24"/>
        </w:rPr>
        <w:t>Salemba</w:t>
      </w:r>
      <w:proofErr w:type="spellEnd"/>
      <w:r w:rsidRPr="0096271B">
        <w:rPr>
          <w:szCs w:val="24"/>
        </w:rPr>
        <w:t xml:space="preserve"> </w:t>
      </w:r>
      <w:proofErr w:type="spellStart"/>
      <w:r w:rsidRPr="0096271B">
        <w:rPr>
          <w:szCs w:val="24"/>
        </w:rPr>
        <w:t>E</w:t>
      </w:r>
      <w:r w:rsidRPr="0096271B">
        <w:rPr>
          <w:szCs w:val="24"/>
        </w:rPr>
        <w:t>m</w:t>
      </w:r>
      <w:r w:rsidRPr="0096271B">
        <w:rPr>
          <w:szCs w:val="24"/>
        </w:rPr>
        <w:t>pat</w:t>
      </w:r>
      <w:proofErr w:type="spellEnd"/>
      <w:r w:rsidRPr="0096271B">
        <w:rPr>
          <w:szCs w:val="24"/>
        </w:rPr>
        <w:t>.</w:t>
      </w:r>
    </w:p>
    <w:p w:rsidR="0096271B" w:rsidRDefault="002F5D2D" w:rsidP="002F5D2D">
      <w:pPr>
        <w:ind w:left="720" w:hanging="720"/>
        <w:rPr>
          <w:szCs w:val="24"/>
          <w:shd w:val="clear" w:color="auto" w:fill="FFFFFF"/>
        </w:rPr>
      </w:pPr>
      <w:proofErr w:type="spellStart"/>
      <w:r w:rsidRPr="00290CC4">
        <w:rPr>
          <w:szCs w:val="24"/>
          <w:shd w:val="clear" w:color="auto" w:fill="FFFFFF"/>
        </w:rPr>
        <w:t>Harahap</w:t>
      </w:r>
      <w:proofErr w:type="spellEnd"/>
      <w:r w:rsidRPr="00290CC4">
        <w:rPr>
          <w:szCs w:val="24"/>
          <w:shd w:val="clear" w:color="auto" w:fill="FFFFFF"/>
        </w:rPr>
        <w:t>, E. F. (2021). The Spatial Concentr</w:t>
      </w:r>
      <w:r w:rsidRPr="00290CC4">
        <w:rPr>
          <w:szCs w:val="24"/>
          <w:shd w:val="clear" w:color="auto" w:fill="FFFFFF"/>
        </w:rPr>
        <w:t>a</w:t>
      </w:r>
      <w:r w:rsidRPr="00290CC4">
        <w:rPr>
          <w:szCs w:val="24"/>
          <w:shd w:val="clear" w:color="auto" w:fill="FFFFFF"/>
        </w:rPr>
        <w:t>tion of Manufacturing Industry Wor</w:t>
      </w:r>
      <w:r w:rsidRPr="00290CC4">
        <w:rPr>
          <w:szCs w:val="24"/>
          <w:shd w:val="clear" w:color="auto" w:fill="FFFFFF"/>
        </w:rPr>
        <w:t>k</w:t>
      </w:r>
      <w:r w:rsidRPr="00290CC4">
        <w:rPr>
          <w:szCs w:val="24"/>
          <w:shd w:val="clear" w:color="auto" w:fill="FFFFFF"/>
        </w:rPr>
        <w:t>force: Is There a Change</w:t>
      </w:r>
      <w:proofErr w:type="gramStart"/>
      <w:r w:rsidRPr="00290CC4">
        <w:rPr>
          <w:szCs w:val="24"/>
          <w:shd w:val="clear" w:color="auto" w:fill="FFFFFF"/>
        </w:rPr>
        <w:t>?.</w:t>
      </w:r>
      <w:proofErr w:type="gramEnd"/>
      <w:r w:rsidRPr="00290CC4">
        <w:rPr>
          <w:szCs w:val="24"/>
          <w:shd w:val="clear" w:color="auto" w:fill="FFFFFF"/>
        </w:rPr>
        <w:t> </w:t>
      </w:r>
      <w:proofErr w:type="spellStart"/>
      <w:r w:rsidRPr="00290CC4">
        <w:rPr>
          <w:i/>
          <w:iCs/>
          <w:szCs w:val="24"/>
          <w:shd w:val="clear" w:color="auto" w:fill="FFFFFF"/>
        </w:rPr>
        <w:t>Jurnal</w:t>
      </w:r>
      <w:proofErr w:type="spellEnd"/>
      <w:r w:rsidRPr="00290CC4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290CC4">
        <w:rPr>
          <w:i/>
          <w:iCs/>
          <w:szCs w:val="24"/>
          <w:shd w:val="clear" w:color="auto" w:fill="FFFFFF"/>
        </w:rPr>
        <w:t>Ipteks</w:t>
      </w:r>
      <w:proofErr w:type="spellEnd"/>
      <w:r w:rsidRPr="00290CC4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290CC4">
        <w:rPr>
          <w:i/>
          <w:iCs/>
          <w:szCs w:val="24"/>
          <w:shd w:val="clear" w:color="auto" w:fill="FFFFFF"/>
        </w:rPr>
        <w:t>Terapan</w:t>
      </w:r>
      <w:proofErr w:type="spellEnd"/>
      <w:r w:rsidRPr="00290CC4">
        <w:rPr>
          <w:i/>
          <w:iCs/>
          <w:szCs w:val="24"/>
          <w:shd w:val="clear" w:color="auto" w:fill="FFFFFF"/>
        </w:rPr>
        <w:t xml:space="preserve"> (Research </w:t>
      </w:r>
      <w:proofErr w:type="gramStart"/>
      <w:r w:rsidRPr="00290CC4">
        <w:rPr>
          <w:i/>
          <w:iCs/>
          <w:szCs w:val="24"/>
          <w:shd w:val="clear" w:color="auto" w:fill="FFFFFF"/>
        </w:rPr>
        <w:t>Of</w:t>
      </w:r>
      <w:proofErr w:type="gramEnd"/>
      <w:r w:rsidRPr="00290CC4">
        <w:rPr>
          <w:i/>
          <w:iCs/>
          <w:szCs w:val="24"/>
          <w:shd w:val="clear" w:color="auto" w:fill="FFFFFF"/>
        </w:rPr>
        <w:t xml:space="preserve"> Applied Science And Ed</w:t>
      </w:r>
      <w:r w:rsidRPr="00290CC4">
        <w:rPr>
          <w:i/>
          <w:iCs/>
          <w:szCs w:val="24"/>
          <w:shd w:val="clear" w:color="auto" w:fill="FFFFFF"/>
        </w:rPr>
        <w:t>u</w:t>
      </w:r>
      <w:r w:rsidRPr="00290CC4">
        <w:rPr>
          <w:i/>
          <w:iCs/>
          <w:szCs w:val="24"/>
          <w:shd w:val="clear" w:color="auto" w:fill="FFFFFF"/>
        </w:rPr>
        <w:t>cation)</w:t>
      </w:r>
      <w:r w:rsidRPr="00290CC4">
        <w:rPr>
          <w:szCs w:val="24"/>
          <w:shd w:val="clear" w:color="auto" w:fill="FFFFFF"/>
        </w:rPr>
        <w:t>, </w:t>
      </w:r>
      <w:r w:rsidRPr="00290CC4">
        <w:rPr>
          <w:i/>
          <w:iCs/>
          <w:szCs w:val="24"/>
          <w:shd w:val="clear" w:color="auto" w:fill="FFFFFF"/>
        </w:rPr>
        <w:t>15</w:t>
      </w:r>
      <w:r w:rsidRPr="00290CC4">
        <w:rPr>
          <w:szCs w:val="24"/>
          <w:shd w:val="clear" w:color="auto" w:fill="FFFFFF"/>
        </w:rPr>
        <w:t>(1), 34-47.</w:t>
      </w:r>
    </w:p>
    <w:p w:rsidR="00845E52" w:rsidRDefault="00845E52" w:rsidP="002F5D2D">
      <w:pPr>
        <w:ind w:left="720" w:hanging="720"/>
        <w:rPr>
          <w:szCs w:val="24"/>
          <w:shd w:val="clear" w:color="auto" w:fill="FFFFFF"/>
        </w:rPr>
      </w:pPr>
      <w:proofErr w:type="spellStart"/>
      <w:r w:rsidRPr="00860B14">
        <w:rPr>
          <w:szCs w:val="24"/>
          <w:shd w:val="clear" w:color="auto" w:fill="FFFFFF"/>
        </w:rPr>
        <w:t>Putong</w:t>
      </w:r>
      <w:proofErr w:type="spellEnd"/>
      <w:r w:rsidRPr="00860B14">
        <w:rPr>
          <w:szCs w:val="24"/>
          <w:shd w:val="clear" w:color="auto" w:fill="FFFFFF"/>
        </w:rPr>
        <w:t xml:space="preserve">, I. (2013). Economics: </w:t>
      </w:r>
      <w:proofErr w:type="spellStart"/>
      <w:r w:rsidRPr="00860B14">
        <w:rPr>
          <w:szCs w:val="24"/>
          <w:shd w:val="clear" w:color="auto" w:fill="FFFFFF"/>
        </w:rPr>
        <w:t>PengantarMikro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dan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proofErr w:type="gramStart"/>
      <w:r w:rsidRPr="00860B14">
        <w:rPr>
          <w:szCs w:val="24"/>
          <w:shd w:val="clear" w:color="auto" w:fill="FFFFFF"/>
        </w:rPr>
        <w:t>Makro</w:t>
      </w:r>
      <w:proofErr w:type="spellEnd"/>
      <w:r w:rsidRPr="00860B14">
        <w:rPr>
          <w:szCs w:val="24"/>
          <w:shd w:val="clear" w:color="auto" w:fill="FFFFFF"/>
        </w:rPr>
        <w:t>(</w:t>
      </w:r>
      <w:proofErr w:type="gramEnd"/>
      <w:r w:rsidRPr="00860B14">
        <w:rPr>
          <w:szCs w:val="24"/>
          <w:shd w:val="clear" w:color="auto" w:fill="FFFFFF"/>
        </w:rPr>
        <w:t xml:space="preserve">5th ed.). Jakarta: </w:t>
      </w:r>
      <w:proofErr w:type="spellStart"/>
      <w:r w:rsidRPr="00860B14">
        <w:rPr>
          <w:szCs w:val="24"/>
          <w:shd w:val="clear" w:color="auto" w:fill="FFFFFF"/>
        </w:rPr>
        <w:t>Mitra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Wacana</w:t>
      </w:r>
      <w:proofErr w:type="spellEnd"/>
      <w:r w:rsidRPr="00860B14">
        <w:rPr>
          <w:szCs w:val="24"/>
          <w:shd w:val="clear" w:color="auto" w:fill="FFFFFF"/>
        </w:rPr>
        <w:t xml:space="preserve"> Media</w:t>
      </w:r>
    </w:p>
    <w:p w:rsidR="00845E52" w:rsidRPr="00860B14" w:rsidRDefault="00845E52" w:rsidP="00845E52">
      <w:pPr>
        <w:spacing w:line="480" w:lineRule="auto"/>
        <w:ind w:left="720" w:hanging="720"/>
        <w:rPr>
          <w:szCs w:val="24"/>
          <w:shd w:val="clear" w:color="auto" w:fill="FFFFFF"/>
        </w:rPr>
      </w:pPr>
      <w:proofErr w:type="spellStart"/>
      <w:proofErr w:type="gramStart"/>
      <w:r w:rsidRPr="00860B14">
        <w:rPr>
          <w:szCs w:val="24"/>
          <w:shd w:val="clear" w:color="auto" w:fill="FFFFFF"/>
        </w:rPr>
        <w:t>Sudarto</w:t>
      </w:r>
      <w:proofErr w:type="spellEnd"/>
      <w:r w:rsidRPr="00860B14">
        <w:rPr>
          <w:szCs w:val="24"/>
          <w:shd w:val="clear" w:color="auto" w:fill="FFFFFF"/>
        </w:rPr>
        <w:t>.,</w:t>
      </w:r>
      <w:proofErr w:type="gramEnd"/>
      <w:r w:rsidRPr="00860B14">
        <w:rPr>
          <w:szCs w:val="24"/>
          <w:shd w:val="clear" w:color="auto" w:fill="FFFFFF"/>
        </w:rPr>
        <w:t xml:space="preserve"> 2011. </w:t>
      </w:r>
      <w:proofErr w:type="spellStart"/>
      <w:r w:rsidRPr="00860B14">
        <w:rPr>
          <w:szCs w:val="24"/>
          <w:shd w:val="clear" w:color="auto" w:fill="FFFFFF"/>
        </w:rPr>
        <w:t>Meningkatkan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Kinerja</w:t>
      </w:r>
      <w:proofErr w:type="spellEnd"/>
      <w:r w:rsidRPr="00860B14">
        <w:rPr>
          <w:szCs w:val="24"/>
          <w:shd w:val="clear" w:color="auto" w:fill="FFFFFF"/>
        </w:rPr>
        <w:t xml:space="preserve"> Peru</w:t>
      </w:r>
      <w:r w:rsidRPr="00860B14">
        <w:rPr>
          <w:szCs w:val="24"/>
          <w:shd w:val="clear" w:color="auto" w:fill="FFFFFF"/>
        </w:rPr>
        <w:t>s</w:t>
      </w:r>
      <w:r w:rsidRPr="00860B14">
        <w:rPr>
          <w:szCs w:val="24"/>
          <w:shd w:val="clear" w:color="auto" w:fill="FFFFFF"/>
        </w:rPr>
        <w:t xml:space="preserve">ahaan </w:t>
      </w:r>
      <w:proofErr w:type="spellStart"/>
      <w:r w:rsidRPr="00860B14">
        <w:rPr>
          <w:szCs w:val="24"/>
          <w:shd w:val="clear" w:color="auto" w:fill="FFFFFF"/>
        </w:rPr>
        <w:t>Jasa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Konstruksi</w:t>
      </w:r>
      <w:proofErr w:type="spellEnd"/>
      <w:r w:rsidRPr="00860B14">
        <w:rPr>
          <w:szCs w:val="24"/>
          <w:shd w:val="clear" w:color="auto" w:fill="FFFFFF"/>
        </w:rPr>
        <w:t xml:space="preserve"> di Indonesia. CSIS, Jakarta.</w:t>
      </w:r>
    </w:p>
    <w:p w:rsidR="00845E52" w:rsidRPr="002F5D2D" w:rsidRDefault="00845E52" w:rsidP="00845E52">
      <w:pPr>
        <w:spacing w:line="480" w:lineRule="auto"/>
        <w:ind w:left="720" w:hanging="720"/>
        <w:rPr>
          <w:szCs w:val="24"/>
          <w:highlight w:val="white"/>
        </w:rPr>
      </w:pPr>
      <w:proofErr w:type="spellStart"/>
      <w:proofErr w:type="gramStart"/>
      <w:r w:rsidRPr="00860B14">
        <w:rPr>
          <w:szCs w:val="24"/>
          <w:shd w:val="clear" w:color="auto" w:fill="FFFFFF"/>
        </w:rPr>
        <w:t>Tumelap</w:t>
      </w:r>
      <w:proofErr w:type="spellEnd"/>
      <w:r w:rsidRPr="00860B14">
        <w:rPr>
          <w:szCs w:val="24"/>
          <w:shd w:val="clear" w:color="auto" w:fill="FFFFFF"/>
        </w:rPr>
        <w:t xml:space="preserve">, J., </w:t>
      </w:r>
      <w:proofErr w:type="spellStart"/>
      <w:r w:rsidRPr="00860B14">
        <w:rPr>
          <w:szCs w:val="24"/>
          <w:shd w:val="clear" w:color="auto" w:fill="FFFFFF"/>
        </w:rPr>
        <w:t>Sumajouw</w:t>
      </w:r>
      <w:proofErr w:type="spellEnd"/>
      <w:r w:rsidRPr="00860B14">
        <w:rPr>
          <w:szCs w:val="24"/>
          <w:shd w:val="clear" w:color="auto" w:fill="FFFFFF"/>
        </w:rPr>
        <w:t xml:space="preserve">, M. D., &amp; </w:t>
      </w:r>
      <w:proofErr w:type="spellStart"/>
      <w:r w:rsidRPr="00860B14">
        <w:rPr>
          <w:szCs w:val="24"/>
          <w:shd w:val="clear" w:color="auto" w:fill="FFFFFF"/>
        </w:rPr>
        <w:t>Waney</w:t>
      </w:r>
      <w:proofErr w:type="spellEnd"/>
      <w:r w:rsidRPr="00860B14">
        <w:rPr>
          <w:szCs w:val="24"/>
          <w:shd w:val="clear" w:color="auto" w:fill="FFFFFF"/>
        </w:rPr>
        <w:t>, E. V. (2014).</w:t>
      </w:r>
      <w:proofErr w:type="gram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Analisis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Kinerja</w:t>
      </w:r>
      <w:proofErr w:type="spellEnd"/>
      <w:r w:rsidRPr="00860B14">
        <w:rPr>
          <w:szCs w:val="24"/>
          <w:shd w:val="clear" w:color="auto" w:fill="FFFFFF"/>
        </w:rPr>
        <w:t xml:space="preserve"> Perusahaan </w:t>
      </w:r>
      <w:proofErr w:type="spellStart"/>
      <w:r w:rsidRPr="00860B14">
        <w:rPr>
          <w:szCs w:val="24"/>
          <w:shd w:val="clear" w:color="auto" w:fill="FFFFFF"/>
        </w:rPr>
        <w:t>Jasa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Pelaksana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Konstruksi</w:t>
      </w:r>
      <w:proofErr w:type="spellEnd"/>
      <w:r w:rsidRPr="00860B14">
        <w:rPr>
          <w:szCs w:val="24"/>
          <w:shd w:val="clear" w:color="auto" w:fill="FFFFFF"/>
        </w:rPr>
        <w:t xml:space="preserve"> (</w:t>
      </w:r>
      <w:proofErr w:type="spellStart"/>
      <w:r w:rsidRPr="00860B14">
        <w:rPr>
          <w:szCs w:val="24"/>
          <w:shd w:val="clear" w:color="auto" w:fill="FFFFFF"/>
        </w:rPr>
        <w:t>Studi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Kasus</w:t>
      </w:r>
      <w:proofErr w:type="spellEnd"/>
      <w:r w:rsidRPr="00860B14">
        <w:rPr>
          <w:szCs w:val="24"/>
          <w:shd w:val="clear" w:color="auto" w:fill="FFFFFF"/>
        </w:rPr>
        <w:t xml:space="preserve"> di </w:t>
      </w:r>
      <w:proofErr w:type="spellStart"/>
      <w:r w:rsidRPr="00860B14">
        <w:rPr>
          <w:szCs w:val="24"/>
          <w:shd w:val="clear" w:color="auto" w:fill="FFFFFF"/>
        </w:rPr>
        <w:t>Kabupaten</w:t>
      </w:r>
      <w:proofErr w:type="spellEnd"/>
      <w:r w:rsidRPr="00860B14">
        <w:rPr>
          <w:szCs w:val="24"/>
          <w:shd w:val="clear" w:color="auto" w:fill="FFFFFF"/>
        </w:rPr>
        <w:t xml:space="preserve"> </w:t>
      </w:r>
      <w:proofErr w:type="spellStart"/>
      <w:r w:rsidRPr="00860B14">
        <w:rPr>
          <w:szCs w:val="24"/>
          <w:shd w:val="clear" w:color="auto" w:fill="FFFFFF"/>
        </w:rPr>
        <w:t>Sarmi</w:t>
      </w:r>
      <w:proofErr w:type="spellEnd"/>
      <w:r w:rsidRPr="00860B14">
        <w:rPr>
          <w:szCs w:val="24"/>
          <w:shd w:val="clear" w:color="auto" w:fill="FFFFFF"/>
        </w:rPr>
        <w:t>). </w:t>
      </w:r>
      <w:proofErr w:type="spellStart"/>
      <w:proofErr w:type="gramStart"/>
      <w:r w:rsidRPr="00860B14">
        <w:rPr>
          <w:i/>
          <w:iCs/>
          <w:szCs w:val="24"/>
          <w:shd w:val="clear" w:color="auto" w:fill="FFFFFF"/>
        </w:rPr>
        <w:t>Jurnal</w:t>
      </w:r>
      <w:proofErr w:type="spellEnd"/>
      <w:r w:rsidRPr="00860B14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860B14">
        <w:rPr>
          <w:i/>
          <w:iCs/>
          <w:szCs w:val="24"/>
          <w:shd w:val="clear" w:color="auto" w:fill="FFFFFF"/>
        </w:rPr>
        <w:t>Ilmiah</w:t>
      </w:r>
      <w:proofErr w:type="spellEnd"/>
      <w:r w:rsidRPr="00860B14">
        <w:rPr>
          <w:i/>
          <w:iCs/>
          <w:szCs w:val="24"/>
          <w:shd w:val="clear" w:color="auto" w:fill="FFFFFF"/>
        </w:rPr>
        <w:t xml:space="preserve"> Media Engineering</w:t>
      </w:r>
      <w:r w:rsidRPr="00860B14">
        <w:rPr>
          <w:szCs w:val="24"/>
          <w:shd w:val="clear" w:color="auto" w:fill="FFFFFF"/>
        </w:rPr>
        <w:t>, </w:t>
      </w:r>
      <w:r w:rsidRPr="00860B14">
        <w:rPr>
          <w:i/>
          <w:iCs/>
          <w:szCs w:val="24"/>
          <w:shd w:val="clear" w:color="auto" w:fill="FFFFFF"/>
        </w:rPr>
        <w:t>4</w:t>
      </w:r>
      <w:r w:rsidRPr="00860B14">
        <w:rPr>
          <w:szCs w:val="24"/>
          <w:shd w:val="clear" w:color="auto" w:fill="FFFFFF"/>
        </w:rPr>
        <w:t>(2).</w:t>
      </w:r>
      <w:bookmarkStart w:id="1" w:name="_GoBack"/>
      <w:bookmarkEnd w:id="1"/>
      <w:proofErr w:type="gramEnd"/>
    </w:p>
    <w:sectPr w:rsidR="00845E52" w:rsidRPr="002F5D2D" w:rsidSect="00845E52">
      <w:pgSz w:w="11907" w:h="16839" w:code="9"/>
      <w:pgMar w:top="1440" w:right="1440" w:bottom="1440" w:left="990" w:header="720" w:footer="720" w:gutter="0"/>
      <w:cols w:num="2" w:space="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14" w:rsidRDefault="00C40814" w:rsidP="002F5D2D">
      <w:pPr>
        <w:spacing w:after="0" w:line="240" w:lineRule="auto"/>
      </w:pPr>
      <w:r>
        <w:separator/>
      </w:r>
    </w:p>
  </w:endnote>
  <w:endnote w:type="continuationSeparator" w:id="0">
    <w:p w:rsidR="00C40814" w:rsidRDefault="00C40814" w:rsidP="002F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14" w:rsidRDefault="00C40814" w:rsidP="002F5D2D">
      <w:pPr>
        <w:spacing w:after="0" w:line="240" w:lineRule="auto"/>
      </w:pPr>
      <w:r>
        <w:separator/>
      </w:r>
    </w:p>
  </w:footnote>
  <w:footnote w:type="continuationSeparator" w:id="0">
    <w:p w:rsidR="00C40814" w:rsidRDefault="00C40814" w:rsidP="002F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A40"/>
    <w:multiLevelType w:val="hybridMultilevel"/>
    <w:tmpl w:val="EB48D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A1842"/>
    <w:multiLevelType w:val="hybridMultilevel"/>
    <w:tmpl w:val="6708091A"/>
    <w:lvl w:ilvl="0" w:tplc="644E8A2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7B"/>
    <w:rsid w:val="00115370"/>
    <w:rsid w:val="001F457B"/>
    <w:rsid w:val="002B1664"/>
    <w:rsid w:val="002F5D2D"/>
    <w:rsid w:val="00441973"/>
    <w:rsid w:val="00685B12"/>
    <w:rsid w:val="00845E52"/>
    <w:rsid w:val="0096271B"/>
    <w:rsid w:val="009C705A"/>
    <w:rsid w:val="00C40814"/>
    <w:rsid w:val="00C9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7B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6271B"/>
    <w:pPr>
      <w:widowControl w:val="0"/>
      <w:autoSpaceDE w:val="0"/>
      <w:autoSpaceDN w:val="0"/>
      <w:spacing w:after="0" w:line="240" w:lineRule="auto"/>
      <w:ind w:left="1308"/>
      <w:jc w:val="center"/>
      <w:outlineLvl w:val="0"/>
    </w:pPr>
    <w:rPr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7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45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7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qFormat/>
    <w:rsid w:val="0096271B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68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5D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D2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D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7B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6271B"/>
    <w:pPr>
      <w:widowControl w:val="0"/>
      <w:autoSpaceDE w:val="0"/>
      <w:autoSpaceDN w:val="0"/>
      <w:spacing w:after="0" w:line="240" w:lineRule="auto"/>
      <w:ind w:left="1308"/>
      <w:jc w:val="center"/>
      <w:outlineLvl w:val="0"/>
    </w:pPr>
    <w:rPr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7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45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7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qFormat/>
    <w:rsid w:val="0096271B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68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5D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D2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D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erni_fh@yahoo.co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onaagra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C8AD-FF6C-49A1-BDDB-455885E4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2022-02-27T13:25:00Z</dcterms:created>
  <dcterms:modified xsi:type="dcterms:W3CDTF">2022-02-28T13:01:00Z</dcterms:modified>
</cp:coreProperties>
</file>