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PENGARUH PERTUMBUHAN EKONOMI, PENDAPATAN ASLI DAERAH (PAD), DANA ALOKASI UMUM (DAU) DAN SISA LEBIH PEMBIAYAAN ANGGARAN (SILPA) TERHADAP BELANJA MODAL PADA PEMERINTAH </w:t>
      </w:r>
    </w:p>
    <w:p>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KABUPATEN/KOTA DI PROVINSI SUMATERA BARAT</w:t>
      </w:r>
    </w:p>
    <w:p>
      <w:pPr>
        <w:autoSpaceDE w:val="0"/>
        <w:autoSpaceDN w:val="0"/>
        <w:adjustRightInd w:val="0"/>
        <w:spacing w:after="0" w:line="240" w:lineRule="auto"/>
        <w:jc w:val="center"/>
        <w:rPr>
          <w:rFonts w:ascii="Times New Roman" w:hAnsi="Times New Roman"/>
          <w:b/>
          <w:sz w:val="24"/>
          <w:szCs w:val="24"/>
        </w:rPr>
      </w:pPr>
    </w:p>
    <w:p>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Oleh </w:t>
      </w:r>
    </w:p>
    <w:p>
      <w:pPr>
        <w:autoSpaceDE w:val="0"/>
        <w:autoSpaceDN w:val="0"/>
        <w:adjustRightInd w:val="0"/>
        <w:spacing w:after="0" w:line="240" w:lineRule="auto"/>
        <w:jc w:val="center"/>
        <w:rPr>
          <w:rFonts w:ascii="Times New Roman" w:hAnsi="Times New Roman"/>
          <w:b/>
          <w:sz w:val="24"/>
          <w:szCs w:val="24"/>
        </w:rPr>
      </w:pPr>
    </w:p>
    <w:p>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Ifan Ruli Sandi</w:t>
      </w:r>
      <w:r>
        <w:rPr>
          <w:rFonts w:ascii="Times New Roman" w:hAnsi="Times New Roman"/>
          <w:b/>
          <w:sz w:val="24"/>
          <w:szCs w:val="24"/>
          <w:vertAlign w:val="superscript"/>
        </w:rPr>
        <w:t>1</w:t>
      </w:r>
      <w:r>
        <w:rPr>
          <w:rFonts w:ascii="Times New Roman" w:hAnsi="Times New Roman"/>
          <w:b/>
          <w:sz w:val="24"/>
          <w:szCs w:val="24"/>
        </w:rPr>
        <w:t>, Evi Susanti Tasri</w:t>
      </w:r>
      <w:r>
        <w:rPr>
          <w:rFonts w:ascii="Times New Roman" w:hAnsi="Times New Roman"/>
          <w:b/>
          <w:sz w:val="24"/>
          <w:szCs w:val="24"/>
          <w:vertAlign w:val="superscript"/>
        </w:rPr>
        <w:t>2</w:t>
      </w:r>
    </w:p>
    <w:p>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Prodi Ilmu Ekonomi Pembangunn, Fakultas Ekonomi dan Bisnis, Universitas Bung Hatta</w:t>
      </w:r>
    </w:p>
    <w:p>
      <w:pPr>
        <w:autoSpaceDE w:val="0"/>
        <w:autoSpaceDN w:val="0"/>
        <w:adjustRightInd w:val="0"/>
        <w:spacing w:after="0" w:line="240" w:lineRule="auto"/>
        <w:jc w:val="center"/>
        <w:rPr>
          <w:rFonts w:ascii="Times New Roman" w:hAnsi="Times New Roman"/>
          <w:b/>
          <w:sz w:val="24"/>
          <w:szCs w:val="24"/>
        </w:rPr>
      </w:pPr>
    </w:p>
    <w:p>
      <w:pPr>
        <w:tabs>
          <w:tab w:val="left" w:pos="567"/>
          <w:tab w:val="left" w:pos="3969"/>
        </w:tabs>
        <w:spacing w:after="0" w:line="240" w:lineRule="auto"/>
        <w:jc w:val="center"/>
        <w:rPr>
          <w:rFonts w:ascii="Times New Roman" w:hAnsi="Times New Roman"/>
        </w:rPr>
      </w:pPr>
      <w:r>
        <w:rPr>
          <w:rFonts w:ascii="Times New Roman" w:hAnsi="Times New Roman"/>
          <w:sz w:val="24"/>
          <w:szCs w:val="24"/>
        </w:rPr>
        <w:t>E-Mail</w:t>
      </w:r>
      <w:r>
        <w:rPr>
          <w:rFonts w:ascii="Times New Roman" w:hAnsi="Times New Roman"/>
          <w:b/>
          <w:sz w:val="24"/>
          <w:szCs w:val="24"/>
        </w:rPr>
        <w:t xml:space="preserve">: </w:t>
      </w:r>
      <w:bookmarkStart w:id="0" w:name="_GoBack"/>
      <w:bookmarkEnd w:id="0"/>
      <w:r>
        <w:rPr>
          <w:rStyle w:val="4"/>
          <w:rFonts w:hint="default" w:ascii="Times New Roman" w:hAnsi="Times New Roman"/>
          <w:i/>
          <w:u w:val="none"/>
        </w:rPr>
        <w:t>Rulisandii@gmail.com</w:t>
      </w:r>
      <w:r>
        <w:rPr>
          <w:rStyle w:val="4"/>
          <w:rFonts w:hint="default" w:ascii="Times New Roman" w:hAnsi="Times New Roman"/>
          <w:i/>
          <w:u w:val="none"/>
          <w:lang w:val="id-ID"/>
        </w:rPr>
        <w:t>,</w:t>
      </w:r>
      <w:r>
        <w:rPr>
          <w:rStyle w:val="4"/>
          <w:rFonts w:ascii="Times New Roman" w:hAnsi="Times New Roman"/>
          <w:i/>
          <w:u w:val="none"/>
        </w:rPr>
        <w:t xml:space="preserve"> *evitasri@yahoo.com</w:t>
      </w:r>
      <w:r>
        <w:rPr>
          <w:rFonts w:ascii="Times New Roman" w:hAnsi="Times New Roman"/>
          <w:i/>
        </w:rPr>
        <w:t xml:space="preserve"> </w:t>
      </w:r>
    </w:p>
    <w:p>
      <w:pPr>
        <w:spacing w:after="0" w:line="240" w:lineRule="auto"/>
        <w:rPr>
          <w:rFonts w:ascii="Times New Roman" w:hAnsi="Times New Roman"/>
          <w:sz w:val="16"/>
          <w:szCs w:val="16"/>
        </w:rPr>
      </w:pPr>
    </w:p>
    <w:p>
      <w:pPr>
        <w:autoSpaceDE w:val="0"/>
        <w:autoSpaceDN w:val="0"/>
        <w:adjustRightInd w:val="0"/>
        <w:spacing w:after="0" w:line="240" w:lineRule="auto"/>
        <w:jc w:val="center"/>
        <w:rPr>
          <w:rFonts w:ascii="Times New Roman" w:hAnsi="Times New Roman"/>
          <w:b/>
          <w:sz w:val="24"/>
          <w:szCs w:val="24"/>
        </w:rPr>
      </w:pPr>
    </w:p>
    <w:p>
      <w:pPr>
        <w:autoSpaceDE w:val="0"/>
        <w:autoSpaceDN w:val="0"/>
        <w:adjustRightInd w:val="0"/>
        <w:spacing w:after="0" w:line="240" w:lineRule="auto"/>
        <w:jc w:val="both"/>
        <w:rPr>
          <w:rFonts w:ascii="Times New Roman" w:hAnsi="Times New Roman"/>
          <w:b/>
          <w:sz w:val="24"/>
          <w:szCs w:val="24"/>
        </w:rPr>
        <w:sectPr>
          <w:pgSz w:w="12240" w:h="15840"/>
          <w:pgMar w:top="1440" w:right="1440" w:bottom="1440" w:left="1440" w:header="720" w:footer="720" w:gutter="0"/>
          <w:cols w:space="720" w:num="1"/>
          <w:docGrid w:linePitch="360" w:charSpace="0"/>
        </w:sectPr>
      </w:pPr>
    </w:p>
    <w:p>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PENDAHULUAN</w:t>
      </w:r>
    </w:p>
    <w:p>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Kewenangan untuk pemerintah daerah yang didapatkan dari pemerintah pusat dinamakan sebagai kebijakan otonomi daerah. Otonomi daerah diberlakukan mempunyai tujuan untuk menyegerakan pertumbuhan ekonomi dan pembangunan daerah, hal ini juga berguna untuk menurunkan kesenjangan yang terjadi diantara masyarakat serta memperbaiki dan meningkatkan kualitas pelayanan publik agar menjadi lebih efisien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{"citationItems":[{"id":"ITEM-1","itemData":{"DOI":"10.35914/jemma.v2i2.245","ISSN":"2615-1871","abstract":"Pemerintah daerah (Pemda) mempunyai hak dan kewenangan untuk menggunakan sumber-sumber keuangan yang dimilikinya sesuai dengan kebutuhan atas aspirasi masyarakat. Kewenangan tersebut merupakan bagian dari kebijakan otonomi daerah (Otda). Adanya otonomi daerah bertujuan untuk mempercepat pertumbuhan ekonomi dan pembangunan daerah, mengurangi kesenjangan masyarakat dan meningkatkan kualitas pelayanan publik agar lebih efesien dan dependensif terhadap kebutuhan, potensi maupun karateristik dan kebutuhan masyarakat di daerah. Tujuan dari penelitian ini adalah untuk mengetahui pengaruh pertumbuhan ekonomi, pendapatan asli daerah, dana alokasi umum dan dana alokasi khusus terhadap anggaran belanja modal Kabupaten &amp; Kota Provinsi Sulawesi Selatan baik secara simultan maupun secara parsial. Jenis penelitian yang digunakan adalah penelitian terapan (applied research) dengan data kuantitatif. Data yang digunakan dalam penelitian ini adalah data sekunder yang disediakan oleh Badan Pusat Statistik (BPS). Hasil penelitian menunjukan bahwa pengujian hipotesis secara simultan pertumbuhan ekonomi (X1), pendapatan asli daerah (X2), dana alokasi umum (X3) dan dana alokasi khusus (X4) berpengaruh secara terhadap anggaran belanja modal (Y). Sedangkan, pengujian model secara parsial, hanya variabel PAD (X2) yang berpengaruh secara signifikan terhadap anggaran belanja modal (Y). Sedangkan, pertumbuhan ekonomi (X1), dana alokasi umum (X3) dan dana alokasi khusus (X4) tidak berpengaruh secara signifikan terhadap tingkat kemajuan daerah (Y). Adapun saran yang diperlukan dalam pengembangan penelitian selanjutnya yaitu adanya penambahan variabel-variabel lainnya yang dapat mempengaruhi anggaran belanja modal seperti dana perimbangan dan investasi.","author":[{"dropping-particle":"","family":"Syukri","given":"Muhammad","non-dropping-particle":"","parse-names":false,"suffix":""},{"dropping-particle":"","family":"Hinaya","given":"","non-dropping-particle":"","parse-names":false,"suffix":""}],"container-title":"JEMMA | Journal of Economic, Management and Accounting","id":"ITEM-1","issue":"2","issued":{"date-parts":[["2019"]]},"page":"30","title":"Pengaruh Pertumbuhan Ekonomi, Pendapatan Asli Daerah, Dana Alokasi Umum Dan Dana Alokasi Khusus Terhadap Anggaran Belanja Modal Kabupaten &amp; Kota Provinsi Sulawesi Selatan","type":"article-journal","volume":"2"},"uris":["http://www.mendeley.com/documents/?uuid=75834539-e15b-4c6b-9224-68b9a1142ca6","http://www.mendeley.com/documents/?uuid=72bef4e7-46b6-4e98-82aa-bfbd8bdfc17d"]}],"mendeley":{"formattedCitation":"(Syukri &amp; Hinaya, 2019)","plainTextFormattedCitation":"(Syukri &amp; Hinaya, 2019)","previouslyFormattedCitation":"(Syukri &amp; Hinaya, 2019)"},"properties":{"noteIndex":0},"schema":"https://github.com/citation-style-language/schema/raw/master/csl-citation.json"}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(Syukri &amp; Hinaya, 2019)</w:t>
      </w:r>
      <w:r>
        <w:rPr>
          <w:rFonts w:ascii="Times New Roman" w:hAnsi="Times New Roman"/>
          <w:sz w:val="24"/>
          <w:szCs w:val="24"/>
        </w:rPr>
        <w:fldChar w:fldCharType="end"/>
      </w:r>
      <w:r>
        <w:rPr>
          <w:rFonts w:ascii="Times New Roman" w:hAnsi="Times New Roman"/>
          <w:sz w:val="24"/>
          <w:szCs w:val="24"/>
        </w:rPr>
        <w:t>. Otonomi daerah  memberikan  kesempatan  pemerintah  daerah agar dapat  lebih  mengembangkan  potensi  daerah.</w:t>
      </w:r>
    </w:p>
    <w:p>
      <w:pPr>
        <w:tabs>
          <w:tab w:val="left" w:pos="567"/>
        </w:tabs>
        <w:spacing w:after="0" w:line="240" w:lineRule="auto"/>
        <w:jc w:val="both"/>
        <w:rPr>
          <w:rFonts w:ascii="Times New Roman" w:hAnsi="Times New Roman"/>
          <w:sz w:val="24"/>
          <w:szCs w:val="24"/>
        </w:rPr>
      </w:pPr>
      <w:r>
        <w:rPr>
          <w:rFonts w:ascii="Times New Roman" w:hAnsi="Times New Roman"/>
          <w:sz w:val="24"/>
          <w:szCs w:val="24"/>
        </w:rPr>
        <w:t>Pengembangan potensi belanja daerah dilakukan dengan memenuhi kebutuhan belanja daerah yang perencanaannya dilakukan melalui anggaran pendapatan belanja daerah (APBD) yang salah satu komponennya adalah belanja modal. Belanja modal menggambarkan pengeluaran anggaran yang dipergunakan untuk memperoleh aktiva berwujud dan aktiva lainnya, dengan manfaat yang diberikan lebih dari satu periode akuntansi serta juga melebihi batasan paling rendah untuk penetapan aset tetap atau aset lainnya oleh pemerintah (Peraturan Menteri Keuangan (PMK) Nomor 91/PMK.06/2007). Perubahan belanja modal tentu akan mempengaruhi anggaran pemerintah daerah untuk periode mendatang.</w:t>
      </w:r>
    </w:p>
    <w:p>
      <w:pPr>
        <w:tabs>
          <w:tab w:val="left" w:pos="567"/>
        </w:tabs>
        <w:spacing w:after="0" w:line="240" w:lineRule="auto"/>
        <w:jc w:val="both"/>
        <w:rPr>
          <w:rFonts w:ascii="Times New Roman" w:hAnsi="Times New Roman"/>
          <w:sz w:val="24"/>
          <w:szCs w:val="24"/>
        </w:rPr>
      </w:pPr>
    </w:p>
    <w:p>
      <w:pPr>
        <w:tabs>
          <w:tab w:val="left" w:pos="567"/>
        </w:tabs>
        <w:spacing w:after="0" w:line="240" w:lineRule="auto"/>
        <w:jc w:val="both"/>
        <w:rPr>
          <w:rFonts w:ascii="Times New Roman" w:hAnsi="Times New Roman"/>
          <w:b/>
          <w:sz w:val="24"/>
          <w:szCs w:val="24"/>
        </w:rPr>
      </w:pPr>
      <w:r>
        <w:rPr>
          <w:rFonts w:ascii="Times New Roman" w:hAnsi="Times New Roman"/>
          <w:b/>
          <w:sz w:val="24"/>
          <w:szCs w:val="24"/>
        </w:rPr>
        <w:t>METODE PENELITIAN</w:t>
      </w:r>
    </w:p>
    <w:p>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Penelitian ini merupakan penelitian kuantitatif dimana penelitian ini bertujuan membuktikan kebenaran hipotesis. Penelitian ini dilakukn pada 19 kabupaten dan kota di Sumatera Barat. Data diperoleh melalui website </w:t>
      </w:r>
      <w:r>
        <w:fldChar w:fldCharType="begin"/>
      </w:r>
      <w:r>
        <w:instrText xml:space="preserve"> HYPERLINK "http://www.idx.go.id" </w:instrText>
      </w:r>
      <w:r>
        <w:fldChar w:fldCharType="separate"/>
      </w:r>
      <w:r>
        <w:rPr>
          <w:rStyle w:val="4"/>
          <w:rFonts w:ascii="Times New Roman" w:hAnsi="Times New Roman"/>
          <w:sz w:val="24"/>
          <w:szCs w:val="24"/>
        </w:rPr>
        <w:t>www.idx.go.id</w:t>
      </w:r>
      <w:r>
        <w:rPr>
          <w:rStyle w:val="4"/>
          <w:rFonts w:ascii="Times New Roman" w:hAnsi="Times New Roman"/>
          <w:sz w:val="24"/>
          <w:szCs w:val="24"/>
        </w:rPr>
        <w:fldChar w:fldCharType="end"/>
      </w:r>
      <w:r>
        <w:rPr>
          <w:rFonts w:ascii="Times New Roman" w:hAnsi="Times New Roman"/>
          <w:sz w:val="24"/>
          <w:szCs w:val="24"/>
        </w:rPr>
        <w:t>. Data yang digunakan dari tahun 2015 sampai dengan 2019 yang lalu.</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Pada penelitian ini variabel penelitian yang digunakan meliputi belanja modal, pertumbuhan ekonomi, pendapatan asli daerah, dana alokasi khusus dan sisa lebih pembiayaan anggaran. Metode analisis data yang digunakan adalah regresi data panel. Prosedur pengolahan data dimulai dari pengujian asumsi klasik yang terdiri dari uji normalitas, pengujian multikolinearitas dan pengujian heteroskedastisitas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{"citationItems":[{"id":"ITEM-1","itemData":{"abstract":"The objectives of this study are :1) to find out the development of capital expenditure, good and service expenditure on budget surplus in districts/cities in Central Sulawesi; 2) to find out and analize simultaneous influence of capital expenditure, good and service expenditures on budget surplus in districts/cities in Central Sulawesi; 3) to find out and analyze partial influence of capital expenditure on budget surplus in districts /cities in Central Sulawesi ; 4) to find out and analyze partial influence of good and service expenditures on budget surplus in districts/cities in Central Sulawesi. Population of this study consists of 13 districts/cities in Central Sulawesi and 11 districts/cities are selected as sample based on purposive sampling method. The research method used is verivication by means of multiple linear regressions analysis. The results of the test show that 50,40% of budget surplus is influenced by capital expenditure and good and service expenditure : while 49,6% is influenced by other factors, Multiple linear regression tests indicate that capital expenditure, good and service expenditures simultaneously and partially have significant","author":[{"dropping-particle":"","family":"Iswahyudin","given":"","non-dropping-particle":"","parse-names":false,"suffix":""}],"container-title":"Jurnal Katalogis","id":"ITEM-1","issue":"6","issued":{"date-parts":[["2016"]]},"page":"152-168","title":"Pengaruh Belanja Modal, Belanja Barang dan Jasa Terhadap Sisa Lebih Anggaran (SiLPA) Kabuoaten/Kota di Sulawesi Tengah","type":"article-journal","volume":"4"},"uris":["http://www.mendeley.com/documents/?uuid=106815e1-73f0-493b-b6ab-774781d7eacd"]}],"mendeley":{"formattedCitation":"(Iswahyudin, 2016)","plainTextFormattedCitation":"(Iswahyudin, 2016)","previouslyFormattedCitation":"(Iswahyudin,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(Iswahyudin, 2016)</w:t>
      </w:r>
      <w:r>
        <w:rPr>
          <w:rFonts w:ascii="Times New Roman" w:hAnsi="Times New Roman"/>
          <w:sz w:val="24"/>
          <w:szCs w:val="24"/>
        </w:rPr>
        <w:fldChar w:fldCharType="end"/>
      </w:r>
      <w:r>
        <w:rPr>
          <w:rFonts w:ascii="Times New Roman" w:hAnsi="Times New Roman"/>
          <w:sz w:val="24"/>
          <w:szCs w:val="24"/>
        </w:rPr>
        <w:t>.</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Setelah proses tersebut terpenuhi maka analisis regresi data panel ditandai dengan pemilihan efek regresi data panel, mulai dari uji Chow, uji Hausman dan uji Langrage Multiplier. Setelah proses tersebut terpenuhi maka analisis efek regresi data panel dapat dilakukan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{"citationItems":[{"id":"ITEM-1","itemData":{"author":[{"dropping-particle":"","family":"Winarno","given":"Wing Wahyu","non-dropping-particle":"","parse-names":false,"suffix":""}],"edition":"Cetakan 5","id":"ITEM-1","issued":{"date-parts":[["2014"]]},"number-of-pages":"189","publisher":"UPP STIM YKPN","publisher-place":"Sleman Yogyakarta","title":"Analisis Ekonometrika dan Statistika dengan Menggunakan Eviews","type":"book"},"uris":["http://www.mendeley.com/documents/?uuid=70a2d862-e255-4b02-a2cc-813fb91916e5"]}],"mendeley":{"formattedCitation":"(Winarno, 2014)","plainTextFormattedCitation":"(Winarno, 2014)","previouslyFormattedCitation":"(Winarno, 2014)"},"properties":{"noteIndex":0},"schema":"https://github.com/citation-style-language/schema/raw/master/csl-citation.json"}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(Winarno, 2014)</w:t>
      </w:r>
      <w:r>
        <w:rPr>
          <w:rFonts w:ascii="Times New Roman" w:hAnsi="Times New Roman"/>
          <w:sz w:val="24"/>
          <w:szCs w:val="24"/>
        </w:rPr>
        <w:fldChar w:fldCharType="end"/>
      </w:r>
      <w:r>
        <w:rPr>
          <w:rFonts w:ascii="Times New Roman" w:hAnsi="Times New Roman"/>
          <w:sz w:val="24"/>
          <w:szCs w:val="24"/>
        </w:rPr>
        <w:t xml:space="preserve">. Pengujian hipotesis dilakukan dengan menggunakn uji t-statistik. Dimana signifikannya hasil analisis ditentukan dari perbandingan antara sig dengan tingkat kesalahan 0.05. Proses pengolahan data dilkukan dengan menggunakan bantuan program Eviews 9.0. </w:t>
      </w:r>
    </w:p>
    <w:p>
      <w:pPr>
        <w:autoSpaceDE w:val="0"/>
        <w:autoSpaceDN w:val="0"/>
        <w:adjustRightInd w:val="0"/>
        <w:spacing w:after="0" w:line="240" w:lineRule="auto"/>
        <w:jc w:val="both"/>
        <w:rPr>
          <w:rFonts w:ascii="Times New Roman" w:hAnsi="Times New Roman"/>
          <w:sz w:val="24"/>
          <w:szCs w:val="24"/>
        </w:rPr>
      </w:pPr>
    </w:p>
    <w:p>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HASIL DAN PEMBAHASAN</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Penelitian ini bertujuan untuk membuktikan dan menganalisis pengaruh pertumbuhan ekonomi, pendapatan asli daerah, dana alokasi umum dan sisa lebih pembiayaan terhadap belanja modal. Proses pengolahan data dilakukan dengan bantuan Eviews versi 9.0. Berdasarkan hasil pengujian hipotesis yang telah dilakukan diperoleh ringkasan hasil terlihat pada tabel 1 dibawah ini</w:t>
      </w:r>
    </w:p>
    <w:p>
      <w:pPr>
        <w:autoSpaceDE w:val="0"/>
        <w:autoSpaceDN w:val="0"/>
        <w:adjustRightInd w:val="0"/>
        <w:spacing w:after="0" w:line="240" w:lineRule="auto"/>
        <w:jc w:val="both"/>
        <w:rPr>
          <w:rFonts w:ascii="Times New Roman" w:hAnsi="Times New Roman"/>
          <w:sz w:val="24"/>
          <w:szCs w:val="24"/>
        </w:rPr>
      </w:pPr>
    </w:p>
    <w:p>
      <w:pPr>
        <w:pStyle w:val="7"/>
        <w:spacing w:line="240" w:lineRule="auto"/>
        <w:ind w:left="-990"/>
        <w:jc w:val="center"/>
        <w:rPr>
          <w:rFonts w:ascii="Times New Roman" w:hAnsi="Times New Roman"/>
          <w:b/>
        </w:rPr>
      </w:pPr>
      <w:r>
        <w:rPr>
          <w:rFonts w:ascii="Times New Roman" w:hAnsi="Times New Roman"/>
          <w:b/>
        </w:rPr>
        <w:t>Tabel 1 Hasil Pengujian Hipotesis</w:t>
      </w:r>
    </w:p>
    <w:tbl>
      <w:tblPr>
        <w:tblStyle w:val="6"/>
        <w:tblW w:w="5538" w:type="dxa"/>
        <w:jc w:val="right"/>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80"/>
        <w:gridCol w:w="796"/>
        <w:gridCol w:w="786"/>
        <w:gridCol w:w="807"/>
        <w:gridCol w:w="96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jc w:val="right"/>
        </w:trPr>
        <w:tc>
          <w:tcPr>
            <w:tcW w:w="2191" w:type="dxa"/>
            <w:tcBorders>
              <w:top w:val="single" w:color="auto" w:sz="4" w:space="0"/>
              <w:bottom w:val="single" w:color="auto" w:sz="4" w:space="0"/>
            </w:tcBorders>
            <w:vAlign w:val="center"/>
          </w:tcPr>
          <w:p>
            <w:pPr>
              <w:pStyle w:val="7"/>
              <w:spacing w:after="0" w:line="240" w:lineRule="auto"/>
              <w:ind w:left="0"/>
              <w:jc w:val="center"/>
              <w:rPr>
                <w:rFonts w:ascii="Times New Roman" w:hAnsi="Times New Roman"/>
                <w:b/>
                <w:sz w:val="20"/>
                <w:szCs w:val="20"/>
              </w:rPr>
            </w:pPr>
            <w:r>
              <w:rPr>
                <w:rFonts w:ascii="Times New Roman" w:hAnsi="Times New Roman"/>
                <w:b/>
                <w:sz w:val="20"/>
                <w:szCs w:val="20"/>
              </w:rPr>
              <w:t>Keterngan</w:t>
            </w:r>
          </w:p>
        </w:tc>
        <w:tc>
          <w:tcPr>
            <w:tcW w:w="797" w:type="dxa"/>
            <w:tcBorders>
              <w:top w:val="single" w:color="auto" w:sz="4" w:space="0"/>
              <w:bottom w:val="single" w:color="auto" w:sz="4" w:space="0"/>
            </w:tcBorders>
            <w:vAlign w:val="center"/>
          </w:tcPr>
          <w:p>
            <w:pPr>
              <w:pStyle w:val="7"/>
              <w:spacing w:after="0" w:line="240" w:lineRule="auto"/>
              <w:ind w:left="0"/>
              <w:jc w:val="center"/>
              <w:rPr>
                <w:rFonts w:ascii="Times New Roman" w:hAnsi="Times New Roman"/>
                <w:b/>
                <w:sz w:val="20"/>
                <w:szCs w:val="20"/>
              </w:rPr>
            </w:pPr>
            <w:r>
              <w:rPr>
                <w:rFonts w:ascii="Times New Roman" w:hAnsi="Times New Roman" w:cs="Times New Roman"/>
                <w:b/>
                <w:sz w:val="20"/>
                <w:szCs w:val="20"/>
              </w:rPr>
              <w:t>β</w:t>
            </w:r>
          </w:p>
        </w:tc>
        <w:tc>
          <w:tcPr>
            <w:tcW w:w="771" w:type="dxa"/>
            <w:tcBorders>
              <w:top w:val="single" w:color="auto" w:sz="4" w:space="0"/>
              <w:bottom w:val="single" w:color="auto" w:sz="4" w:space="0"/>
            </w:tcBorders>
            <w:vAlign w:val="center"/>
          </w:tcPr>
          <w:p>
            <w:pPr>
              <w:pStyle w:val="7"/>
              <w:spacing w:after="0" w:line="240" w:lineRule="auto"/>
              <w:ind w:left="0"/>
              <w:jc w:val="center"/>
              <w:rPr>
                <w:rFonts w:ascii="Times New Roman" w:hAnsi="Times New Roman"/>
                <w:b/>
                <w:sz w:val="20"/>
                <w:szCs w:val="20"/>
              </w:rPr>
            </w:pPr>
            <w:r>
              <w:rPr>
                <w:rFonts w:ascii="Times New Roman" w:hAnsi="Times New Roman"/>
                <w:b/>
                <w:sz w:val="20"/>
                <w:szCs w:val="20"/>
              </w:rPr>
              <w:t>Prob</w:t>
            </w:r>
          </w:p>
        </w:tc>
        <w:tc>
          <w:tcPr>
            <w:tcW w:w="810" w:type="dxa"/>
            <w:tcBorders>
              <w:top w:val="single" w:color="auto" w:sz="4" w:space="0"/>
              <w:bottom w:val="single" w:color="auto" w:sz="4" w:space="0"/>
            </w:tcBorders>
            <w:vAlign w:val="center"/>
          </w:tcPr>
          <w:p>
            <w:pPr>
              <w:pStyle w:val="7"/>
              <w:spacing w:after="0" w:line="240" w:lineRule="auto"/>
              <w:ind w:left="0"/>
              <w:jc w:val="center"/>
              <w:rPr>
                <w:rFonts w:ascii="Times New Roman" w:hAnsi="Times New Roman"/>
                <w:b/>
                <w:sz w:val="20"/>
                <w:szCs w:val="20"/>
              </w:rPr>
            </w:pPr>
            <w:r>
              <w:rPr>
                <w:rFonts w:ascii="Times New Roman" w:hAnsi="Times New Roman"/>
                <w:b/>
                <w:sz w:val="20"/>
                <w:szCs w:val="20"/>
              </w:rPr>
              <w:t>Cut Off</w:t>
            </w:r>
          </w:p>
        </w:tc>
        <w:tc>
          <w:tcPr>
            <w:tcW w:w="969" w:type="dxa"/>
            <w:tcBorders>
              <w:top w:val="single" w:color="auto" w:sz="4" w:space="0"/>
              <w:bottom w:val="single" w:color="auto" w:sz="4" w:space="0"/>
            </w:tcBorders>
            <w:vAlign w:val="center"/>
          </w:tcPr>
          <w:p>
            <w:pPr>
              <w:pStyle w:val="7"/>
              <w:spacing w:after="0" w:line="240" w:lineRule="auto"/>
              <w:ind w:left="0"/>
              <w:jc w:val="center"/>
              <w:rPr>
                <w:rFonts w:ascii="Times New Roman" w:hAnsi="Times New Roman"/>
                <w:b/>
                <w:sz w:val="20"/>
                <w:szCs w:val="20"/>
              </w:rPr>
            </w:pPr>
            <w:r>
              <w:rPr>
                <w:rFonts w:ascii="Times New Roman" w:hAnsi="Times New Roman"/>
                <w:b/>
                <w:sz w:val="20"/>
                <w:szCs w:val="20"/>
              </w:rPr>
              <w:t>Hasil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 w:hRule="atLeast"/>
          <w:jc w:val="right"/>
        </w:trPr>
        <w:tc>
          <w:tcPr>
            <w:tcW w:w="2191" w:type="dxa"/>
            <w:tcBorders>
              <w:top w:val="single" w:color="auto" w:sz="4" w:space="0"/>
            </w:tcBorders>
            <w:vAlign w:val="center"/>
          </w:tcPr>
          <w:p>
            <w:pPr>
              <w:pStyle w:val="7"/>
              <w:spacing w:after="0" w:line="240" w:lineRule="auto"/>
              <w:ind w:left="0"/>
              <w:jc w:val="both"/>
              <w:rPr>
                <w:rFonts w:ascii="Times New Roman" w:hAnsi="Times New Roman"/>
                <w:b/>
                <w:sz w:val="20"/>
                <w:szCs w:val="20"/>
              </w:rPr>
            </w:pPr>
            <w:r>
              <w:rPr>
                <w:rFonts w:ascii="Times New Roman" w:hAnsi="Times New Roman"/>
                <w:b/>
                <w:sz w:val="20"/>
                <w:szCs w:val="20"/>
              </w:rPr>
              <w:t>Constanta</w:t>
            </w:r>
          </w:p>
        </w:tc>
        <w:tc>
          <w:tcPr>
            <w:tcW w:w="797" w:type="dxa"/>
            <w:tcBorders>
              <w:top w:val="single" w:color="auto" w:sz="4" w:space="0"/>
            </w:tcBorders>
            <w:vAlign w:val="bottom"/>
          </w:tcPr>
          <w:p>
            <w:pPr>
              <w:autoSpaceDE w:val="0"/>
              <w:autoSpaceDN w:val="0"/>
              <w:adjustRightInd w:val="0"/>
              <w:spacing w:after="0" w:line="240" w:lineRule="auto"/>
              <w:ind w:right="20"/>
              <w:jc w:val="right"/>
              <w:rPr>
                <w:rFonts w:ascii="Times New Roman" w:hAnsi="Times New Roman"/>
                <w:color w:val="000000"/>
                <w:sz w:val="20"/>
                <w:szCs w:val="20"/>
              </w:rPr>
            </w:pPr>
            <w:r>
              <w:rPr>
                <w:rFonts w:ascii="Times New Roman" w:hAnsi="Times New Roman"/>
                <w:color w:val="000000"/>
                <w:sz w:val="20"/>
                <w:szCs w:val="20"/>
              </w:rPr>
              <w:t>7.111</w:t>
            </w:r>
          </w:p>
        </w:tc>
        <w:tc>
          <w:tcPr>
            <w:tcW w:w="771" w:type="dxa"/>
            <w:tcBorders>
              <w:top w:val="single" w:color="auto" w:sz="4" w:space="0"/>
            </w:tcBorders>
            <w:vAlign w:val="center"/>
          </w:tcPr>
          <w:p>
            <w:pPr>
              <w:pStyle w:val="7"/>
              <w:spacing w:after="0" w:line="240" w:lineRule="auto"/>
              <w:ind w:left="0"/>
              <w:jc w:val="center"/>
              <w:rPr>
                <w:rFonts w:ascii="Times New Roman" w:hAnsi="Times New Roman"/>
                <w:b/>
                <w:sz w:val="20"/>
                <w:szCs w:val="20"/>
              </w:rPr>
            </w:pPr>
          </w:p>
        </w:tc>
        <w:tc>
          <w:tcPr>
            <w:tcW w:w="810" w:type="dxa"/>
            <w:tcBorders>
              <w:top w:val="single" w:color="auto" w:sz="4" w:space="0"/>
            </w:tcBorders>
            <w:vAlign w:val="center"/>
          </w:tcPr>
          <w:p>
            <w:pPr>
              <w:pStyle w:val="7"/>
              <w:spacing w:after="0" w:line="240" w:lineRule="auto"/>
              <w:ind w:left="0"/>
              <w:jc w:val="center"/>
              <w:rPr>
                <w:rFonts w:ascii="Times New Roman" w:hAnsi="Times New Roman"/>
                <w:b/>
                <w:sz w:val="20"/>
                <w:szCs w:val="20"/>
              </w:rPr>
            </w:pPr>
          </w:p>
        </w:tc>
        <w:tc>
          <w:tcPr>
            <w:tcW w:w="969" w:type="dxa"/>
            <w:tcBorders>
              <w:top w:val="single" w:color="auto" w:sz="4" w:space="0"/>
            </w:tcBorders>
          </w:tcPr>
          <w:p>
            <w:pPr>
              <w:pStyle w:val="7"/>
              <w:spacing w:after="0" w:line="240" w:lineRule="auto"/>
              <w:ind w:left="0"/>
              <w:jc w:val="center"/>
              <w:rPr>
                <w:rFonts w:ascii="Times New Roman" w:hAnsi="Times New Roman"/>
                <w:b/>
                <w:sz w:val="20"/>
                <w:szCs w:val="2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right"/>
        </w:trPr>
        <w:tc>
          <w:tcPr>
            <w:tcW w:w="2191" w:type="dxa"/>
          </w:tcPr>
          <w:p>
            <w:pPr>
              <w:pStyle w:val="5"/>
              <w:spacing w:before="0" w:beforeAutospacing="0" w:after="0" w:afterAutospacing="0"/>
              <w:jc w:val="both"/>
              <w:rPr>
                <w:sz w:val="20"/>
                <w:szCs w:val="20"/>
                <w:lang w:val="en-US"/>
              </w:rPr>
            </w:pPr>
            <w:r>
              <w:rPr>
                <w:sz w:val="20"/>
                <w:szCs w:val="20"/>
                <w:lang w:val="en-US"/>
              </w:rPr>
              <w:t>Pertumbuhan Ekonomi</w:t>
            </w:r>
          </w:p>
        </w:tc>
        <w:tc>
          <w:tcPr>
            <w:tcW w:w="797" w:type="dxa"/>
            <w:vAlign w:val="bottom"/>
          </w:tcPr>
          <w:p>
            <w:pPr>
              <w:autoSpaceDE w:val="0"/>
              <w:autoSpaceDN w:val="0"/>
              <w:adjustRightInd w:val="0"/>
              <w:spacing w:after="0" w:line="240" w:lineRule="auto"/>
              <w:ind w:right="20"/>
              <w:jc w:val="right"/>
              <w:rPr>
                <w:rFonts w:ascii="Times New Roman" w:hAnsi="Times New Roman"/>
                <w:color w:val="000000"/>
                <w:sz w:val="20"/>
                <w:szCs w:val="20"/>
              </w:rPr>
            </w:pPr>
            <w:r>
              <w:rPr>
                <w:rFonts w:ascii="Times New Roman" w:hAnsi="Times New Roman"/>
                <w:color w:val="000000"/>
                <w:sz w:val="20"/>
                <w:szCs w:val="20"/>
              </w:rPr>
              <w:t>0.205</w:t>
            </w:r>
          </w:p>
        </w:tc>
        <w:tc>
          <w:tcPr>
            <w:tcW w:w="771" w:type="dxa"/>
            <w:vAlign w:val="bottom"/>
          </w:tcPr>
          <w:p>
            <w:pPr>
              <w:autoSpaceDE w:val="0"/>
              <w:autoSpaceDN w:val="0"/>
              <w:adjustRightInd w:val="0"/>
              <w:spacing w:after="0" w:line="240" w:lineRule="auto"/>
              <w:ind w:right="20"/>
              <w:jc w:val="right"/>
              <w:rPr>
                <w:rFonts w:ascii="Times New Roman" w:hAnsi="Times New Roman"/>
                <w:color w:val="000000"/>
                <w:sz w:val="20"/>
                <w:szCs w:val="20"/>
              </w:rPr>
            </w:pPr>
            <w:r>
              <w:rPr>
                <w:rFonts w:ascii="Times New Roman" w:hAnsi="Times New Roman"/>
                <w:color w:val="000000"/>
                <w:sz w:val="20"/>
                <w:szCs w:val="20"/>
              </w:rPr>
              <w:t>0.0000</w:t>
            </w:r>
          </w:p>
        </w:tc>
        <w:tc>
          <w:tcPr>
            <w:tcW w:w="810" w:type="dxa"/>
          </w:tcPr>
          <w:p>
            <w:pPr>
              <w:pStyle w:val="7"/>
              <w:spacing w:after="0" w:line="240" w:lineRule="auto"/>
              <w:ind w:left="0"/>
              <w:jc w:val="center"/>
              <w:rPr>
                <w:rFonts w:ascii="Times New Roman" w:hAnsi="Times New Roman"/>
                <w:sz w:val="20"/>
                <w:szCs w:val="20"/>
              </w:rPr>
            </w:pPr>
            <w:r>
              <w:rPr>
                <w:rFonts w:ascii="Times New Roman" w:hAnsi="Times New Roman"/>
                <w:sz w:val="20"/>
                <w:szCs w:val="20"/>
              </w:rPr>
              <w:t>0.05</w:t>
            </w:r>
          </w:p>
        </w:tc>
        <w:tc>
          <w:tcPr>
            <w:tcW w:w="969" w:type="dxa"/>
          </w:tcPr>
          <w:p>
            <w:pPr>
              <w:pStyle w:val="7"/>
              <w:spacing w:after="0" w:line="240" w:lineRule="auto"/>
              <w:ind w:left="0"/>
              <w:jc w:val="center"/>
              <w:rPr>
                <w:rFonts w:ascii="Times New Roman" w:hAnsi="Times New Roman"/>
                <w:sz w:val="20"/>
                <w:szCs w:val="20"/>
              </w:rPr>
            </w:pPr>
            <w:r>
              <w:rPr>
                <w:rFonts w:ascii="Times New Roman" w:hAnsi="Times New Roman"/>
                <w:sz w:val="20"/>
                <w:szCs w:val="20"/>
              </w:rPr>
              <w:t>Diterima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right"/>
        </w:trPr>
        <w:tc>
          <w:tcPr>
            <w:tcW w:w="2191" w:type="dxa"/>
          </w:tcPr>
          <w:p>
            <w:pPr>
              <w:pStyle w:val="5"/>
              <w:spacing w:before="0" w:beforeAutospacing="0" w:after="0" w:afterAutospacing="0"/>
              <w:jc w:val="both"/>
              <w:rPr>
                <w:sz w:val="20"/>
                <w:szCs w:val="20"/>
                <w:lang w:val="en-US"/>
              </w:rPr>
            </w:pPr>
            <w:r>
              <w:rPr>
                <w:sz w:val="20"/>
                <w:szCs w:val="20"/>
                <w:lang w:val="en-US"/>
              </w:rPr>
              <w:t>Pendapatan Asli Daerah</w:t>
            </w:r>
          </w:p>
        </w:tc>
        <w:tc>
          <w:tcPr>
            <w:tcW w:w="797" w:type="dxa"/>
            <w:vAlign w:val="bottom"/>
          </w:tcPr>
          <w:p>
            <w:pPr>
              <w:autoSpaceDE w:val="0"/>
              <w:autoSpaceDN w:val="0"/>
              <w:adjustRightInd w:val="0"/>
              <w:spacing w:after="0" w:line="240" w:lineRule="auto"/>
              <w:ind w:right="20"/>
              <w:jc w:val="right"/>
              <w:rPr>
                <w:rFonts w:ascii="Times New Roman" w:hAnsi="Times New Roman"/>
                <w:color w:val="000000"/>
                <w:sz w:val="20"/>
                <w:szCs w:val="20"/>
              </w:rPr>
            </w:pPr>
            <w:r>
              <w:rPr>
                <w:rFonts w:ascii="Times New Roman" w:hAnsi="Times New Roman"/>
                <w:color w:val="000000"/>
                <w:sz w:val="20"/>
                <w:szCs w:val="20"/>
              </w:rPr>
              <w:t>0.422</w:t>
            </w:r>
          </w:p>
        </w:tc>
        <w:tc>
          <w:tcPr>
            <w:tcW w:w="771" w:type="dxa"/>
            <w:vAlign w:val="bottom"/>
          </w:tcPr>
          <w:p>
            <w:pPr>
              <w:autoSpaceDE w:val="0"/>
              <w:autoSpaceDN w:val="0"/>
              <w:adjustRightInd w:val="0"/>
              <w:spacing w:after="0" w:line="240" w:lineRule="auto"/>
              <w:ind w:right="20"/>
              <w:jc w:val="right"/>
              <w:rPr>
                <w:rFonts w:ascii="Times New Roman" w:hAnsi="Times New Roman"/>
                <w:color w:val="000000"/>
                <w:sz w:val="20"/>
                <w:szCs w:val="20"/>
              </w:rPr>
            </w:pPr>
            <w:r>
              <w:rPr>
                <w:rFonts w:ascii="Times New Roman" w:hAnsi="Times New Roman"/>
                <w:color w:val="000000"/>
                <w:sz w:val="20"/>
                <w:szCs w:val="20"/>
              </w:rPr>
              <w:t>0.0000</w:t>
            </w:r>
          </w:p>
        </w:tc>
        <w:tc>
          <w:tcPr>
            <w:tcW w:w="810" w:type="dxa"/>
          </w:tcPr>
          <w:p>
            <w:pPr>
              <w:pStyle w:val="7"/>
              <w:spacing w:after="0" w:line="240" w:lineRule="auto"/>
              <w:ind w:left="0"/>
              <w:jc w:val="center"/>
              <w:rPr>
                <w:rFonts w:ascii="Times New Roman" w:hAnsi="Times New Roman"/>
                <w:sz w:val="20"/>
                <w:szCs w:val="20"/>
              </w:rPr>
            </w:pPr>
            <w:r>
              <w:rPr>
                <w:rFonts w:ascii="Times New Roman" w:hAnsi="Times New Roman"/>
                <w:sz w:val="20"/>
                <w:szCs w:val="20"/>
              </w:rPr>
              <w:t>0.05</w:t>
            </w:r>
          </w:p>
        </w:tc>
        <w:tc>
          <w:tcPr>
            <w:tcW w:w="969" w:type="dxa"/>
          </w:tcPr>
          <w:p>
            <w:pPr>
              <w:pStyle w:val="7"/>
              <w:spacing w:after="0" w:line="240" w:lineRule="auto"/>
              <w:ind w:left="0"/>
              <w:jc w:val="center"/>
              <w:rPr>
                <w:rFonts w:ascii="Times New Roman" w:hAnsi="Times New Roman"/>
                <w:sz w:val="20"/>
                <w:szCs w:val="20"/>
              </w:rPr>
            </w:pPr>
            <w:r>
              <w:rPr>
                <w:rFonts w:ascii="Times New Roman" w:hAnsi="Times New Roman"/>
                <w:sz w:val="20"/>
                <w:szCs w:val="20"/>
              </w:rPr>
              <w:t>Diterima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right"/>
        </w:trPr>
        <w:tc>
          <w:tcPr>
            <w:tcW w:w="2191" w:type="dxa"/>
          </w:tcPr>
          <w:p>
            <w:pPr>
              <w:pStyle w:val="5"/>
              <w:spacing w:before="0" w:beforeAutospacing="0" w:after="0" w:afterAutospacing="0"/>
              <w:jc w:val="both"/>
              <w:rPr>
                <w:sz w:val="20"/>
                <w:szCs w:val="20"/>
                <w:lang w:val="en-US"/>
              </w:rPr>
            </w:pPr>
            <w:r>
              <w:rPr>
                <w:sz w:val="20"/>
                <w:szCs w:val="20"/>
                <w:lang w:val="en-US"/>
              </w:rPr>
              <w:t>Dana Alokasi Umum</w:t>
            </w:r>
          </w:p>
        </w:tc>
        <w:tc>
          <w:tcPr>
            <w:tcW w:w="797" w:type="dxa"/>
            <w:vAlign w:val="bottom"/>
          </w:tcPr>
          <w:p>
            <w:pPr>
              <w:autoSpaceDE w:val="0"/>
              <w:autoSpaceDN w:val="0"/>
              <w:adjustRightInd w:val="0"/>
              <w:spacing w:after="0" w:line="240" w:lineRule="auto"/>
              <w:ind w:right="20"/>
              <w:jc w:val="right"/>
              <w:rPr>
                <w:rFonts w:ascii="Times New Roman" w:hAnsi="Times New Roman"/>
                <w:color w:val="000000"/>
                <w:sz w:val="20"/>
                <w:szCs w:val="20"/>
              </w:rPr>
            </w:pPr>
            <w:r>
              <w:rPr>
                <w:rFonts w:ascii="Times New Roman" w:hAnsi="Times New Roman"/>
                <w:color w:val="000000"/>
                <w:sz w:val="20"/>
                <w:szCs w:val="20"/>
              </w:rPr>
              <w:t>0.097</w:t>
            </w:r>
          </w:p>
        </w:tc>
        <w:tc>
          <w:tcPr>
            <w:tcW w:w="771" w:type="dxa"/>
            <w:vAlign w:val="bottom"/>
          </w:tcPr>
          <w:p>
            <w:pPr>
              <w:autoSpaceDE w:val="0"/>
              <w:autoSpaceDN w:val="0"/>
              <w:adjustRightInd w:val="0"/>
              <w:spacing w:after="0" w:line="240" w:lineRule="auto"/>
              <w:ind w:right="20"/>
              <w:jc w:val="right"/>
              <w:rPr>
                <w:rFonts w:ascii="Times New Roman" w:hAnsi="Times New Roman"/>
                <w:color w:val="000000"/>
                <w:sz w:val="20"/>
                <w:szCs w:val="20"/>
              </w:rPr>
            </w:pPr>
            <w:r>
              <w:rPr>
                <w:rFonts w:ascii="Times New Roman" w:hAnsi="Times New Roman"/>
                <w:color w:val="000000"/>
                <w:sz w:val="20"/>
                <w:szCs w:val="20"/>
              </w:rPr>
              <w:t>0.0418</w:t>
            </w:r>
          </w:p>
        </w:tc>
        <w:tc>
          <w:tcPr>
            <w:tcW w:w="810" w:type="dxa"/>
          </w:tcPr>
          <w:p>
            <w:pPr>
              <w:pStyle w:val="7"/>
              <w:spacing w:after="0" w:line="240" w:lineRule="auto"/>
              <w:ind w:left="0"/>
              <w:jc w:val="center"/>
              <w:rPr>
                <w:rFonts w:ascii="Times New Roman" w:hAnsi="Times New Roman"/>
                <w:sz w:val="20"/>
                <w:szCs w:val="20"/>
              </w:rPr>
            </w:pPr>
            <w:r>
              <w:rPr>
                <w:rFonts w:ascii="Times New Roman" w:hAnsi="Times New Roman"/>
                <w:sz w:val="20"/>
                <w:szCs w:val="20"/>
              </w:rPr>
              <w:t>0.05</w:t>
            </w:r>
          </w:p>
        </w:tc>
        <w:tc>
          <w:tcPr>
            <w:tcW w:w="969" w:type="dxa"/>
          </w:tcPr>
          <w:p>
            <w:pPr>
              <w:pStyle w:val="7"/>
              <w:spacing w:after="0" w:line="240" w:lineRule="auto"/>
              <w:ind w:left="0"/>
              <w:jc w:val="center"/>
              <w:rPr>
                <w:rFonts w:ascii="Times New Roman" w:hAnsi="Times New Roman"/>
                <w:sz w:val="20"/>
                <w:szCs w:val="20"/>
              </w:rPr>
            </w:pPr>
            <w:r>
              <w:rPr>
                <w:rFonts w:ascii="Times New Roman" w:hAnsi="Times New Roman"/>
                <w:sz w:val="20"/>
                <w:szCs w:val="20"/>
              </w:rPr>
              <w:t>Diterima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right"/>
        </w:trPr>
        <w:tc>
          <w:tcPr>
            <w:tcW w:w="2191" w:type="dxa"/>
          </w:tcPr>
          <w:p>
            <w:pPr>
              <w:pStyle w:val="5"/>
              <w:spacing w:before="0" w:beforeAutospacing="0" w:after="0" w:afterAutospacing="0"/>
              <w:jc w:val="both"/>
              <w:rPr>
                <w:sz w:val="20"/>
                <w:szCs w:val="20"/>
                <w:lang w:val="en-US"/>
              </w:rPr>
            </w:pPr>
            <w:r>
              <w:rPr>
                <w:sz w:val="20"/>
                <w:szCs w:val="20"/>
                <w:lang w:val="en-US"/>
              </w:rPr>
              <w:t>Sisa Lebih Pembiayaan</w:t>
            </w:r>
          </w:p>
        </w:tc>
        <w:tc>
          <w:tcPr>
            <w:tcW w:w="797" w:type="dxa"/>
            <w:vAlign w:val="bottom"/>
          </w:tcPr>
          <w:p>
            <w:pPr>
              <w:autoSpaceDE w:val="0"/>
              <w:autoSpaceDN w:val="0"/>
              <w:adjustRightInd w:val="0"/>
              <w:spacing w:after="0" w:line="240" w:lineRule="auto"/>
              <w:ind w:right="20"/>
              <w:jc w:val="right"/>
              <w:rPr>
                <w:rFonts w:ascii="Times New Roman" w:hAnsi="Times New Roman"/>
                <w:color w:val="000000"/>
                <w:sz w:val="20"/>
                <w:szCs w:val="20"/>
              </w:rPr>
            </w:pPr>
            <w:r>
              <w:rPr>
                <w:rFonts w:ascii="Times New Roman" w:hAnsi="Times New Roman"/>
                <w:color w:val="000000"/>
                <w:sz w:val="20"/>
                <w:szCs w:val="20"/>
              </w:rPr>
              <w:t>-0.019</w:t>
            </w:r>
          </w:p>
        </w:tc>
        <w:tc>
          <w:tcPr>
            <w:tcW w:w="771" w:type="dxa"/>
            <w:vAlign w:val="bottom"/>
          </w:tcPr>
          <w:p>
            <w:pPr>
              <w:autoSpaceDE w:val="0"/>
              <w:autoSpaceDN w:val="0"/>
              <w:adjustRightInd w:val="0"/>
              <w:spacing w:after="0" w:line="240" w:lineRule="auto"/>
              <w:ind w:right="20"/>
              <w:jc w:val="right"/>
              <w:rPr>
                <w:rFonts w:ascii="Times New Roman" w:hAnsi="Times New Roman"/>
                <w:color w:val="000000"/>
                <w:sz w:val="20"/>
                <w:szCs w:val="20"/>
              </w:rPr>
            </w:pPr>
            <w:r>
              <w:rPr>
                <w:rFonts w:ascii="Times New Roman" w:hAnsi="Times New Roman"/>
                <w:color w:val="000000"/>
                <w:sz w:val="20"/>
                <w:szCs w:val="20"/>
              </w:rPr>
              <w:t>0.7188</w:t>
            </w:r>
          </w:p>
        </w:tc>
        <w:tc>
          <w:tcPr>
            <w:tcW w:w="810" w:type="dxa"/>
          </w:tcPr>
          <w:p>
            <w:pPr>
              <w:pStyle w:val="7"/>
              <w:spacing w:after="0" w:line="240" w:lineRule="auto"/>
              <w:ind w:left="0"/>
              <w:jc w:val="center"/>
              <w:rPr>
                <w:rFonts w:ascii="Times New Roman" w:hAnsi="Times New Roman"/>
                <w:sz w:val="20"/>
                <w:szCs w:val="20"/>
              </w:rPr>
            </w:pPr>
            <w:r>
              <w:rPr>
                <w:rFonts w:ascii="Times New Roman" w:hAnsi="Times New Roman"/>
                <w:sz w:val="20"/>
                <w:szCs w:val="20"/>
              </w:rPr>
              <w:t>0.05</w:t>
            </w:r>
          </w:p>
        </w:tc>
        <w:tc>
          <w:tcPr>
            <w:tcW w:w="969" w:type="dxa"/>
          </w:tcPr>
          <w:p>
            <w:pPr>
              <w:pStyle w:val="7"/>
              <w:spacing w:after="0" w:line="240" w:lineRule="auto"/>
              <w:ind w:left="0"/>
              <w:jc w:val="center"/>
              <w:rPr>
                <w:rFonts w:ascii="Times New Roman" w:hAnsi="Times New Roman"/>
                <w:sz w:val="20"/>
                <w:szCs w:val="20"/>
              </w:rPr>
            </w:pPr>
            <w:r>
              <w:rPr>
                <w:rFonts w:ascii="Times New Roman" w:hAnsi="Times New Roman"/>
                <w:sz w:val="20"/>
                <w:szCs w:val="20"/>
              </w:rPr>
              <w:t>Ditolak</w:t>
            </w:r>
          </w:p>
        </w:tc>
      </w:tr>
    </w:tbl>
    <w:p>
      <w:pPr>
        <w:autoSpaceDE w:val="0"/>
        <w:autoSpaceDN w:val="0"/>
        <w:adjustRightInd w:val="0"/>
        <w:spacing w:after="0" w:line="240" w:lineRule="auto"/>
        <w:jc w:val="both"/>
        <w:rPr>
          <w:rFonts w:ascii="Times New Roman" w:hAnsi="Times New Roman"/>
          <w:sz w:val="24"/>
          <w:szCs w:val="24"/>
        </w:rPr>
      </w:pP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Berdasarkan hasil pengujian hipotesis pertama terlihat varibel pertumbuhan ekonomi memiliki prob sebesar 0.000. Hasil yang diperoleh menunujukan pertumbuhan ekonomi berpengaruh positif dan signifikan terhadap belanja modal pada 19 kabupaten dan kota di Sumatera Barat. Pada tahapan pengujian hipotesis kedua ditemukan pendapatan asli daerah memiliki nilai probability sebesar 0.000. dengan demikian nilai P &lt; 0.05 sehingga dapat disimpulkan pendapatan asli daerah berpengaruh positif dan signifikan terhadap belanja modal pada 19 kabupaten dan kota di Sumatera Barat.</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Pada tahapan pengujian hipotesis ketiga ditemukan  bahwa variabel dana alokasi umum memiliki nilai prob sebesar 0.0418. dengan demikian nilai probability yang diperoleh  berada jauh dibawah 0.05 sehingga dapat disimpulkan dana aloksi khusus berpengaruh positif dan signifikan terhadap belanja modal pada 19 kabupaten dan kota di Sumatera Barat. Selain itu pada pengujian hipotesis keempat ditemukan bahwa variabel sisa lebih pembiayaan memiliki nilai probability sebesar 0.7188. Hasil yang diperoleh menunjukan nilai probability diatas 0.05. Maka dapat disimpulkan sisa lebih pembiayaan tidak berpengaruh signifikan terhadap belanja modal pada 19 kabupaten dan kota di Sumatera Barat.</w:t>
      </w:r>
    </w:p>
    <w:p>
      <w:pPr>
        <w:autoSpaceDE w:val="0"/>
        <w:autoSpaceDN w:val="0"/>
        <w:adjustRightInd w:val="0"/>
        <w:spacing w:after="0" w:line="240" w:lineRule="auto"/>
        <w:jc w:val="both"/>
        <w:rPr>
          <w:rFonts w:ascii="Times New Roman" w:hAnsi="Times New Roman"/>
          <w:sz w:val="24"/>
          <w:szCs w:val="24"/>
        </w:rPr>
      </w:pPr>
    </w:p>
    <w:p>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KESIMPULAN</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Berdasarkan hasil pengujian hipotesis pertama ditemukan pertumbuhan ekonomi, pendapatan asli daerah dan dana alokasi umum berpengaruh positif dan signifikan terhadap belanja modal pada 19 kabupaten dan kota di Sumatera Barat, sedangkan variabel sisa lebih pembiayaan tidak berpengaruh signifikan terhadap belanja modal pada 19 kabupaten dan kota di Sumatera Barat.</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Bagi Pemerintah daerah diharapkan dapat terus meningkatkan nilai belanja modal, khususnya ditujukan untuk mengejar ketinggalan pembangunan 19 kabupaten dan kota di Sumatera Barat dari daerah lain. </w:t>
      </w:r>
    </w:p>
    <w:p>
      <w:pPr>
        <w:autoSpaceDE w:val="0"/>
        <w:autoSpaceDN w:val="0"/>
        <w:adjustRightInd w:val="0"/>
        <w:spacing w:after="0" w:line="240" w:lineRule="auto"/>
        <w:jc w:val="both"/>
        <w:rPr>
          <w:rFonts w:ascii="Times New Roman" w:hAnsi="Times New Roman"/>
          <w:sz w:val="24"/>
          <w:szCs w:val="24"/>
        </w:rPr>
      </w:pPr>
    </w:p>
    <w:p>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DAFTAR PUSTAKA</w:t>
      </w:r>
    </w:p>
    <w:p>
      <w:pPr>
        <w:widowControl w:val="0"/>
        <w:autoSpaceDE w:val="0"/>
        <w:autoSpaceDN w:val="0"/>
        <w:adjustRightInd w:val="0"/>
        <w:spacing w:after="0" w:line="240" w:lineRule="auto"/>
        <w:ind w:left="480" w:hanging="480"/>
        <w:jc w:val="both"/>
        <w:rPr>
          <w:rFonts w:ascii="Times New Roman" w:hAnsi="Times New Roman"/>
        </w:rPr>
      </w:pPr>
      <w:r>
        <w:rPr>
          <w:rFonts w:ascii="Times New Roman" w:hAnsi="Times New Roman"/>
        </w:rPr>
        <w:fldChar w:fldCharType="begin" w:fldLock="1"/>
      </w:r>
      <w:r>
        <w:rPr>
          <w:rFonts w:ascii="Times New Roman" w:hAnsi="Times New Roman"/>
        </w:rPr>
        <w:instrText xml:space="preserve">ADDIN Mendeley Bibliography CSL_BIBLIOGRAPHY </w:instrText>
      </w:r>
      <w:r>
        <w:rPr>
          <w:rFonts w:ascii="Times New Roman" w:hAnsi="Times New Roman"/>
        </w:rPr>
        <w:fldChar w:fldCharType="separate"/>
      </w:r>
      <w:r>
        <w:rPr>
          <w:rFonts w:ascii="Times New Roman" w:hAnsi="Times New Roman"/>
        </w:rPr>
        <w:t xml:space="preserve">Hair, J. F., Black, W. C., Babin, B. J., &amp; Anderson, R. E. (2014). </w:t>
      </w:r>
      <w:r>
        <w:rPr>
          <w:rFonts w:ascii="Times New Roman" w:hAnsi="Times New Roman"/>
          <w:i/>
          <w:iCs/>
        </w:rPr>
        <w:t>Multivariate Data Analysis: A Global Perspective</w:t>
      </w:r>
      <w:r>
        <w:rPr>
          <w:rFonts w:ascii="Times New Roman" w:hAnsi="Times New Roman"/>
        </w:rPr>
        <w:t xml:space="preserve"> (7th ed.). New Jersey: Pearson Education.</w:t>
      </w:r>
    </w:p>
    <w:p>
      <w:pPr>
        <w:widowControl w:val="0"/>
        <w:autoSpaceDE w:val="0"/>
        <w:autoSpaceDN w:val="0"/>
        <w:adjustRightInd w:val="0"/>
        <w:spacing w:after="0" w:line="240" w:lineRule="auto"/>
        <w:ind w:left="480" w:hanging="480"/>
        <w:jc w:val="both"/>
        <w:rPr>
          <w:rFonts w:ascii="Times New Roman" w:hAnsi="Times New Roman"/>
        </w:rPr>
      </w:pPr>
      <w:r>
        <w:rPr>
          <w:rFonts w:ascii="Times New Roman" w:hAnsi="Times New Roman"/>
        </w:rPr>
        <w:t xml:space="preserve">Iswahyudin. (2016). Pengaruh Belanja Modal, Belanja Barang dan Jasa Terhadap Sisa Lebih Anggaran (SiLPA) Kabuoaten/Kota di Sulawesi Tengah. </w:t>
      </w:r>
      <w:r>
        <w:rPr>
          <w:rFonts w:ascii="Times New Roman" w:hAnsi="Times New Roman"/>
          <w:i/>
          <w:iCs/>
        </w:rPr>
        <w:t>Jurnal Katalogis</w:t>
      </w:r>
      <w:r>
        <w:rPr>
          <w:rFonts w:ascii="Times New Roman" w:hAnsi="Times New Roman"/>
        </w:rPr>
        <w:t xml:space="preserve">, </w:t>
      </w:r>
      <w:r>
        <w:rPr>
          <w:rFonts w:ascii="Times New Roman" w:hAnsi="Times New Roman"/>
          <w:i/>
          <w:iCs/>
        </w:rPr>
        <w:t>4</w:t>
      </w:r>
      <w:r>
        <w:rPr>
          <w:rFonts w:ascii="Times New Roman" w:hAnsi="Times New Roman"/>
        </w:rPr>
        <w:t>(6), 152–168.</w:t>
      </w:r>
    </w:p>
    <w:p>
      <w:pPr>
        <w:widowControl w:val="0"/>
        <w:autoSpaceDE w:val="0"/>
        <w:autoSpaceDN w:val="0"/>
        <w:adjustRightInd w:val="0"/>
        <w:spacing w:after="0" w:line="240" w:lineRule="auto"/>
        <w:ind w:left="480" w:hanging="480"/>
        <w:jc w:val="both"/>
        <w:rPr>
          <w:rFonts w:ascii="Times New Roman" w:hAnsi="Times New Roman"/>
        </w:rPr>
      </w:pPr>
      <w:r>
        <w:rPr>
          <w:rFonts w:ascii="Times New Roman" w:hAnsi="Times New Roman"/>
        </w:rPr>
        <w:t xml:space="preserve">Syukri, M., &amp; Hinaya. (2019). Pengaruh Pertumbuhan Ekonomi, Pendapatan Asli Daerah, Dana Alokasi Umum Dan Dana Alokasi Khusus Terhadap Anggaran Belanja Modal Kabupaten &amp; Kota Provinsi Sulawesi Selatan. </w:t>
      </w:r>
      <w:r>
        <w:rPr>
          <w:rFonts w:ascii="Times New Roman" w:hAnsi="Times New Roman"/>
          <w:i/>
          <w:iCs/>
        </w:rPr>
        <w:t>JEMMA | Journal of Economic, Management and Accounting</w:t>
      </w:r>
      <w:r>
        <w:rPr>
          <w:rFonts w:ascii="Times New Roman" w:hAnsi="Times New Roman"/>
        </w:rPr>
        <w:t xml:space="preserve">, </w:t>
      </w:r>
      <w:r>
        <w:rPr>
          <w:rFonts w:ascii="Times New Roman" w:hAnsi="Times New Roman"/>
          <w:i/>
          <w:iCs/>
        </w:rPr>
        <w:t>2</w:t>
      </w:r>
      <w:r>
        <w:rPr>
          <w:rFonts w:ascii="Times New Roman" w:hAnsi="Times New Roman"/>
        </w:rPr>
        <w:t>(2), 30. https://doi.org/10.35914/jemma.v2i2.245</w:t>
      </w:r>
    </w:p>
    <w:p>
      <w:pPr>
        <w:widowControl w:val="0"/>
        <w:autoSpaceDE w:val="0"/>
        <w:autoSpaceDN w:val="0"/>
        <w:adjustRightInd w:val="0"/>
        <w:spacing w:after="0" w:line="240" w:lineRule="auto"/>
        <w:ind w:left="480" w:hanging="480"/>
        <w:jc w:val="both"/>
        <w:rPr>
          <w:rFonts w:ascii="Times New Roman" w:hAnsi="Times New Roman"/>
        </w:rPr>
      </w:pPr>
      <w:r>
        <w:rPr>
          <w:rFonts w:ascii="Times New Roman" w:hAnsi="Times New Roman"/>
        </w:rPr>
        <w:t xml:space="preserve">Winarno, W. W. (2014). </w:t>
      </w:r>
      <w:r>
        <w:rPr>
          <w:rFonts w:ascii="Times New Roman" w:hAnsi="Times New Roman"/>
          <w:i/>
          <w:iCs/>
        </w:rPr>
        <w:t>Analisis Ekonometrika dan Statistika dengan Menggunakan Eviews</w:t>
      </w:r>
      <w:r>
        <w:rPr>
          <w:rFonts w:ascii="Times New Roman" w:hAnsi="Times New Roman"/>
        </w:rPr>
        <w:t xml:space="preserve"> (Cetakan 5). Sleman Yogyakarta: UPP STIM YKPN.</w:t>
      </w:r>
    </w:p>
    <w:p>
      <w:pPr>
        <w:autoSpaceDE w:val="0"/>
        <w:autoSpaceDN w:val="0"/>
        <w:adjustRightInd w:val="0"/>
        <w:spacing w:after="0" w:line="240" w:lineRule="auto"/>
        <w:jc w:val="both"/>
        <w:rPr>
          <w:rFonts w:ascii="Times New Roman" w:hAnsi="Times New Roman"/>
          <w:sz w:val="24"/>
          <w:szCs w:val="24"/>
        </w:rPr>
        <w:sectPr>
          <w:type w:val="continuous"/>
          <w:pgSz w:w="12240" w:h="15840"/>
          <w:pgMar w:top="1440" w:right="1440" w:bottom="1440" w:left="1440" w:header="720" w:footer="720" w:gutter="0"/>
          <w:cols w:space="720" w:num="2"/>
          <w:docGrid w:linePitch="360" w:charSpace="0"/>
        </w:sectPr>
      </w:pPr>
      <w:r>
        <w:rPr>
          <w:rFonts w:ascii="Times New Roman" w:hAnsi="Times New Roman"/>
        </w:rPr>
        <w:fldChar w:fldCharType="end"/>
      </w:r>
    </w:p>
    <w:p/>
    <w:sectPr>
      <w:type w:val="continuous"/>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CEE"/>
    <w:rsid w:val="00003AAE"/>
    <w:rsid w:val="00012E84"/>
    <w:rsid w:val="001A1E25"/>
    <w:rsid w:val="0023381A"/>
    <w:rsid w:val="00385164"/>
    <w:rsid w:val="00414048"/>
    <w:rsid w:val="00447132"/>
    <w:rsid w:val="009D1CEE"/>
    <w:rsid w:val="00A03AD2"/>
    <w:rsid w:val="00A911CB"/>
    <w:rsid w:val="00AC681E"/>
    <w:rsid w:val="00D24216"/>
    <w:rsid w:val="00E40EC4"/>
    <w:rsid w:val="00F138B3"/>
    <w:rsid w:val="41EB2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14:textFill>
        <w14:solidFill>
          <w14:schemeClr w14:val="hlink"/>
        </w14:solidFill>
      </w14:textFill>
    </w:r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eastAsia="Times New Roman"/>
      <w:sz w:val="24"/>
      <w:szCs w:val="24"/>
      <w:lang w:val="id-ID" w:eastAsia="id-ID"/>
    </w:rPr>
  </w:style>
  <w:style w:type="table" w:styleId="6">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link w:val="8"/>
    <w:qFormat/>
    <w:uiPriority w:val="34"/>
    <w:pPr>
      <w:ind w:left="720"/>
      <w:contextualSpacing/>
    </w:pPr>
    <w:rPr>
      <w:rFonts w:asciiTheme="minorHAnsi" w:hAnsiTheme="minorHAnsi" w:eastAsiaTheme="minorHAnsi" w:cstheme="minorBidi"/>
    </w:rPr>
  </w:style>
  <w:style w:type="character" w:customStyle="1" w:styleId="8">
    <w:name w:val="List Paragraph Char"/>
    <w:link w:val="7"/>
    <w:qFormat/>
    <w:locked/>
    <w:uiPriority w:val="34"/>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29E58-7D91-4510-AF1C-0E831DB1D988}">
  <ds:schemaRefs/>
</ds:datastoreItem>
</file>

<file path=docProps/app.xml><?xml version="1.0" encoding="utf-8"?>
<Properties xmlns="http://schemas.openxmlformats.org/officeDocument/2006/extended-properties" xmlns:vt="http://schemas.openxmlformats.org/officeDocument/2006/docPropsVTypes">
  <Template>Normal</Template>
  <Pages>2</Pages>
  <Words>1802</Words>
  <Characters>10275</Characters>
  <Lines>85</Lines>
  <Paragraphs>24</Paragraphs>
  <TotalTime>67</TotalTime>
  <ScaleCrop>false</ScaleCrop>
  <LinksUpToDate>false</LinksUpToDate>
  <CharactersWithSpaces>12053</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2022-08-02T12:41:00Z</dcterms:created>
  <dc:creator>User</dc:creator>
  <cp:lastModifiedBy>Lorensia Nesta pristama</cp:lastModifiedBy>
  <dcterms:modified xsi:type="dcterms:W3CDTF">2022-08-02T16:05:46Z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8b787a45-9650-3095-8af9-6d68c121fbb6</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http://www.zotero.org/styles/chicago-note-bibliography</vt:lpwstr>
  </property>
  <property fmtid="{D5CDD505-2E9C-101B-9397-08002B2CF9AE}" pid="14" name="Mendeley Recent Style Name 4_1">
    <vt:lpwstr>Chicago Manual of Style 17th edition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KSOProductBuildVer">
    <vt:lpwstr>1033-11.2.0.11191</vt:lpwstr>
  </property>
  <property fmtid="{D5CDD505-2E9C-101B-9397-08002B2CF9AE}" pid="26" name="ICV">
    <vt:lpwstr>0DBD8C5F82EA48E68EC5419FBF0C2C5A</vt:lpwstr>
  </property>
</Properties>
</file>