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PENGARUH PERTUMBUHAN EKONOMI, PENDAPATAN ASLI DAERAH (PAD), DANA ALOKASI UMUM (DAU) DAN SISA LEBIH PEMBIAYAAN ANGGARAN (SILPA) TERHADAP BELANJA MODAL PADA PEMERINTAH </w:t>
      </w:r>
    </w:p>
    <w:p>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KABUPATEN/KOTA DI PROVINSI SUMATERA BARAT</w:t>
      </w:r>
    </w:p>
    <w:p>
      <w:pPr>
        <w:autoSpaceDE w:val="0"/>
        <w:autoSpaceDN w:val="0"/>
        <w:adjustRightInd w:val="0"/>
        <w:spacing w:after="0" w:line="240" w:lineRule="auto"/>
        <w:jc w:val="center"/>
        <w:rPr>
          <w:rFonts w:ascii="Times New Roman" w:hAnsi="Times New Roman"/>
          <w:b/>
          <w:sz w:val="24"/>
          <w:szCs w:val="24"/>
        </w:rPr>
      </w:pPr>
    </w:p>
    <w:p>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Oleh </w:t>
      </w:r>
    </w:p>
    <w:p>
      <w:pPr>
        <w:autoSpaceDE w:val="0"/>
        <w:autoSpaceDN w:val="0"/>
        <w:adjustRightInd w:val="0"/>
        <w:spacing w:after="0" w:line="240" w:lineRule="auto"/>
        <w:jc w:val="center"/>
        <w:rPr>
          <w:rFonts w:ascii="Times New Roman" w:hAnsi="Times New Roman"/>
          <w:b/>
          <w:sz w:val="24"/>
          <w:szCs w:val="24"/>
        </w:rPr>
      </w:pPr>
    </w:p>
    <w:p>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Ifan Ruli Sandi</w:t>
      </w:r>
      <w:r>
        <w:rPr>
          <w:rFonts w:ascii="Times New Roman" w:hAnsi="Times New Roman"/>
          <w:b/>
          <w:sz w:val="24"/>
          <w:szCs w:val="24"/>
          <w:vertAlign w:val="superscript"/>
        </w:rPr>
        <w:t>1</w:t>
      </w:r>
      <w:r>
        <w:rPr>
          <w:rFonts w:ascii="Times New Roman" w:hAnsi="Times New Roman"/>
          <w:b/>
          <w:sz w:val="24"/>
          <w:szCs w:val="24"/>
        </w:rPr>
        <w:t>, Evi Susanti Tasri</w:t>
      </w:r>
      <w:r>
        <w:rPr>
          <w:rFonts w:ascii="Times New Roman" w:hAnsi="Times New Roman"/>
          <w:b/>
          <w:sz w:val="24"/>
          <w:szCs w:val="24"/>
          <w:vertAlign w:val="superscript"/>
        </w:rPr>
        <w:t>2</w:t>
      </w:r>
    </w:p>
    <w:p>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Prodi Ilmu Ekonomi Pembangunn, Fakultas Ekonomi dan Bisnis, Universitas Bung Hatta</w:t>
      </w:r>
    </w:p>
    <w:p>
      <w:pPr>
        <w:autoSpaceDE w:val="0"/>
        <w:autoSpaceDN w:val="0"/>
        <w:adjustRightInd w:val="0"/>
        <w:spacing w:after="0" w:line="240" w:lineRule="auto"/>
        <w:jc w:val="center"/>
        <w:rPr>
          <w:rFonts w:ascii="Times New Roman" w:hAnsi="Times New Roman"/>
          <w:b/>
          <w:sz w:val="24"/>
          <w:szCs w:val="24"/>
        </w:rPr>
      </w:pPr>
    </w:p>
    <w:p>
      <w:pPr>
        <w:tabs>
          <w:tab w:val="left" w:pos="567"/>
          <w:tab w:val="left" w:pos="3969"/>
        </w:tabs>
        <w:spacing w:after="0" w:line="240" w:lineRule="auto"/>
        <w:jc w:val="center"/>
        <w:rPr>
          <w:rFonts w:ascii="Times New Roman" w:hAnsi="Times New Roman"/>
        </w:rPr>
      </w:pPr>
      <w:r>
        <w:rPr>
          <w:rFonts w:ascii="Times New Roman" w:hAnsi="Times New Roman"/>
          <w:sz w:val="24"/>
          <w:szCs w:val="24"/>
        </w:rPr>
        <w:t>E-Mail</w:t>
      </w:r>
      <w:r>
        <w:rPr>
          <w:rFonts w:ascii="Times New Roman" w:hAnsi="Times New Roman"/>
          <w:b/>
          <w:sz w:val="24"/>
          <w:szCs w:val="24"/>
        </w:rPr>
        <w:t xml:space="preserve">: </w:t>
      </w:r>
      <w:bookmarkStart w:id="0" w:name="_GoBack"/>
      <w:bookmarkEnd w:id="0"/>
      <w:r>
        <w:rPr>
          <w:rStyle w:val="4"/>
          <w:rFonts w:hint="default" w:ascii="Times New Roman" w:hAnsi="Times New Roman"/>
          <w:i/>
          <w:u w:val="none"/>
        </w:rPr>
        <w:t>Rulisandii@gmail.com</w:t>
      </w:r>
      <w:r>
        <w:rPr>
          <w:rStyle w:val="4"/>
          <w:rFonts w:hint="default" w:ascii="Times New Roman" w:hAnsi="Times New Roman"/>
          <w:i/>
          <w:u w:val="none"/>
          <w:lang w:val="id-ID"/>
        </w:rPr>
        <w:t>,</w:t>
      </w:r>
      <w:r>
        <w:rPr>
          <w:rStyle w:val="4"/>
          <w:rFonts w:ascii="Times New Roman" w:hAnsi="Times New Roman"/>
          <w:i/>
          <w:u w:val="none"/>
        </w:rPr>
        <w:t xml:space="preserve"> *evitasri@yahoo.com</w:t>
      </w:r>
      <w:r>
        <w:rPr>
          <w:rFonts w:ascii="Times New Roman" w:hAnsi="Times New Roman"/>
          <w:i/>
        </w:rPr>
        <w:t xml:space="preserve"> </w:t>
      </w:r>
    </w:p>
    <w:p>
      <w:pPr>
        <w:spacing w:after="0" w:line="240" w:lineRule="auto"/>
        <w:rPr>
          <w:rFonts w:ascii="Times New Roman" w:hAnsi="Times New Roman"/>
          <w:sz w:val="16"/>
          <w:szCs w:val="16"/>
        </w:rPr>
      </w:pPr>
    </w:p>
    <w:p>
      <w:pPr>
        <w:autoSpaceDE w:val="0"/>
        <w:autoSpaceDN w:val="0"/>
        <w:adjustRightInd w:val="0"/>
        <w:spacing w:after="0" w:line="240" w:lineRule="auto"/>
        <w:jc w:val="center"/>
        <w:rPr>
          <w:rFonts w:ascii="Times New Roman" w:hAnsi="Times New Roman"/>
          <w:b/>
          <w:sz w:val="24"/>
          <w:szCs w:val="24"/>
        </w:rPr>
      </w:pPr>
    </w:p>
    <w:p>
      <w:pPr>
        <w:autoSpaceDE w:val="0"/>
        <w:autoSpaceDN w:val="0"/>
        <w:adjustRightInd w:val="0"/>
        <w:spacing w:after="0" w:line="240" w:lineRule="auto"/>
        <w:jc w:val="both"/>
        <w:rPr>
          <w:rFonts w:ascii="Times New Roman" w:hAnsi="Times New Roman"/>
          <w:b/>
          <w:sz w:val="24"/>
          <w:szCs w:val="24"/>
        </w:rPr>
        <w:sectPr>
          <w:pgSz w:w="12240" w:h="15840"/>
          <w:pgMar w:top="1440" w:right="1440" w:bottom="1440" w:left="1440" w:header="720" w:footer="720" w:gutter="0"/>
          <w:cols w:space="720" w:num="1"/>
          <w:docGrid w:linePitch="360" w:charSpace="0"/>
        </w:sectPr>
      </w:pPr>
    </w:p>
    <w:p>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PENDAHULUAN</w:t>
      </w:r>
    </w:p>
    <w:p>
      <w:pPr>
        <w:tabs>
          <w:tab w:val="left" w:pos="567"/>
        </w:tabs>
        <w:spacing w:after="0" w:line="240" w:lineRule="auto"/>
        <w:jc w:val="both"/>
        <w:rPr>
          <w:rFonts w:ascii="Times New Roman" w:hAnsi="Times New Roman"/>
          <w:sz w:val="24"/>
          <w:szCs w:val="24"/>
        </w:rPr>
      </w:pPr>
      <w:r>
        <w:rPr>
          <w:rFonts w:ascii="Times New Roman" w:hAnsi="Times New Roman"/>
          <w:sz w:val="24"/>
          <w:szCs w:val="24"/>
        </w:rPr>
        <w:t xml:space="preserve">Kewenangan untuk pemerintah daerah yang didapatkan dari pemerintah pusat dinamakan sebagai kebijakan otonomi daerah. Otonomi daerah diberlakukan mempunyai tujuan untuk menyegerakan pertumbuhan ekonomi dan pembangunan daerah, hal ini juga berguna untuk menurunkan kesenjangan yang terjadi diantara masyarakat serta memperbaiki dan meningkatkan kualitas pelayanan publik agar menjadi lebih efisien </w:t>
      </w:r>
      <w:r>
        <w:rPr>
          <w:rFonts w:ascii="Times New Roman" w:hAnsi="Times New Roman"/>
          <w:sz w:val="24"/>
          <w:szCs w:val="24"/>
        </w:rPr>
        <w:fldChar w:fldCharType="begin" w:fldLock="1"/>
      </w:r>
      <w:r>
        <w:rPr>
          <w:rFonts w:ascii="Times New Roman" w:hAnsi="Times New Roman"/>
          <w:sz w:val="24"/>
          <w:szCs w:val="24"/>
        </w:rPr>
        <w:instrText xml:space="preserve">ADDIN CSL_CITATION {"citationItems":[{"id":"ITEM-1","itemData":{"DOI":"10.35914/jemma.v2i2.245","ISSN":"2615-1871","abstract":"Pemerintah daerah (Pemda) mempunyai hak dan kewenangan untuk menggunakan sumber-sumber keuangan yang dimilikinya sesuai dengan kebutuhan atas aspirasi masyarakat. Kewenangan tersebut merupakan bagian dari kebijakan otonomi daerah (Otda). Adanya otonomi daerah bertujuan untuk mempercepat pertumbuhan ekonomi dan pembangunan daerah, mengurangi kesenjangan masyarakat dan meningkatkan kualitas pelayanan publik agar lebih efesien dan dependensif terhadap kebutuhan, potensi maupun karateristik dan kebutuhan masyarakat di daerah. Tujuan dari penelitian ini adalah untuk mengetahui pengaruh pertumbuhan ekonomi, pendapatan asli daerah, dana alokasi umum dan dana alokasi khusus terhadap anggaran belanja modal Kabupaten &amp; Kota Provinsi Sulawesi Selatan baik secara simultan maupun secara parsial. Jenis penelitian yang digunakan adalah penelitian terapan (applied research) dengan data kuantitatif. Data yang digunakan dalam penelitian ini adalah data sekunder yang disediakan oleh Badan Pusat Statistik (BPS). Hasil penelitian menunjukan bahwa pengujian hipotesis secara simultan pertumbuhan ekonomi (X1), pendapatan asli daerah (X2), dana alokasi umum (X3) dan dana alokasi khusus (X4) berpengaruh secara terhadap anggaran belanja modal (Y). Sedangkan, pengujian model secara parsial, hanya variabel PAD (X2) yang berpengaruh secara signifikan terhadap anggaran belanja modal (Y). Sedangkan, pertumbuhan ekonomi (X1), dana alokasi umum (X3) dan dana alokasi khusus (X4) tidak berpengaruh secara signifikan terhadap tingkat kemajuan daerah (Y). Adapun saran yang diperlukan dalam pengembangan penelitian selanjutnya yaitu adanya penambahan variabel-variabel lainnya yang dapat mempengaruhi anggaran belanja modal seperti dana perimbangan dan investasi.","author":[{"dropping-particle":"","family":"Syukri","given":"Muhammad","non-dropping-particle":"","parse-names":false,"suffix":""},{"dropping-particle":"","family":"Hinaya","given":"","non-dropping-particle":"","parse-names":false,"suffix":""}],"container-title":"JEMMA | Journal of Economic, Management and Accounting","id":"ITEM-1","issue":"2","issued":{"date-parts":[["2019"]]},"page":"30","title":"Pengaruh Pertumbuhan Ekonomi, Pendapatan Asli Daerah, Dana Alokasi Umum Dan Dana Alokasi Khusus Terhadap Anggaran Belanja Modal Kabupaten &amp; Kota Provinsi Sulawesi Selatan","type":"article-journal","volume":"2"},"uris":["http://www.mendeley.com/documents/?uuid=75834539-e15b-4c6b-9224-68b9a1142ca6","http://www.mendeley.com/documents/?uuid=72bef4e7-46b6-4e98-82aa-bfbd8bdfc17d"]}],"mendeley":{"formattedCitation":"(Syukri &amp; Hinaya, 2019)","plainTextFormattedCitation":"(Syukri &amp; Hinaya, 2019)","previouslyFormattedCitation":"(Syukri &amp; Hinaya, 2019)"},"properties":{"noteIndex":0},"schema":"https://github.com/citation-style-language/schema/raw/master/csl-citation.json"}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rPr>
        <w:t>(Syukri &amp; Hinaya, 2019)</w:t>
      </w:r>
      <w:r>
        <w:rPr>
          <w:rFonts w:ascii="Times New Roman" w:hAnsi="Times New Roman"/>
          <w:sz w:val="24"/>
          <w:szCs w:val="24"/>
        </w:rPr>
        <w:fldChar w:fldCharType="end"/>
      </w:r>
      <w:r>
        <w:rPr>
          <w:rFonts w:ascii="Times New Roman" w:hAnsi="Times New Roman"/>
          <w:sz w:val="24"/>
          <w:szCs w:val="24"/>
        </w:rPr>
        <w:t>. Otonomi daerah  memberikan  kesempatan  pemerintah  daerah agar dapat  lebih  mengembangkan  potensi  daerah.</w:t>
      </w:r>
    </w:p>
    <w:p>
      <w:pPr>
        <w:tabs>
          <w:tab w:val="left" w:pos="567"/>
        </w:tabs>
        <w:spacing w:after="0" w:line="240" w:lineRule="auto"/>
        <w:jc w:val="both"/>
        <w:rPr>
          <w:rFonts w:ascii="Times New Roman" w:hAnsi="Times New Roman"/>
          <w:sz w:val="24"/>
          <w:szCs w:val="24"/>
        </w:rPr>
      </w:pPr>
      <w:r>
        <w:rPr>
          <w:rFonts w:ascii="Times New Roman" w:hAnsi="Times New Roman"/>
          <w:sz w:val="24"/>
          <w:szCs w:val="24"/>
        </w:rPr>
        <w:t>Pengembangan potensi belanja daerah dilakukan dengan memenuhi kebutuhan belanja daerah yang perencanaannya dilakukan melalui anggaran pendapatan belanja daerah (APBD) yang salah satu komponennya adalah belanja modal. Belanja modal menggambarkan pengeluaran anggaran yang dipergunakan untuk memperoleh aktiva berwujud dan aktiva lainnya, dengan manfaat yang diberikan lebih dari satu periode akuntansi serta juga melebihi batasan paling rendah untuk penetapan aset tetap atau aset lainnya oleh pemerintah (Peraturan Menteri Keuangan (PMK) Nomor 91/PMK.06/2007). Perubahan belanja modal tentu akan mempengaruhi anggaran pemerintah daerah untuk periode mendatang.</w:t>
      </w:r>
    </w:p>
    <w:p>
      <w:pPr>
        <w:tabs>
          <w:tab w:val="left" w:pos="567"/>
        </w:tabs>
        <w:spacing w:after="0" w:line="240" w:lineRule="auto"/>
        <w:jc w:val="both"/>
        <w:rPr>
          <w:rFonts w:ascii="Times New Roman" w:hAnsi="Times New Roman"/>
          <w:sz w:val="24"/>
          <w:szCs w:val="24"/>
        </w:rPr>
      </w:pPr>
    </w:p>
    <w:p>
      <w:pPr>
        <w:tabs>
          <w:tab w:val="left" w:pos="567"/>
        </w:tabs>
        <w:spacing w:after="0" w:line="240" w:lineRule="auto"/>
        <w:jc w:val="both"/>
        <w:rPr>
          <w:rFonts w:ascii="Times New Roman" w:hAnsi="Times New Roman"/>
          <w:b/>
          <w:sz w:val="24"/>
          <w:szCs w:val="24"/>
        </w:rPr>
      </w:pPr>
      <w:r>
        <w:rPr>
          <w:rFonts w:ascii="Times New Roman" w:hAnsi="Times New Roman"/>
          <w:b/>
          <w:sz w:val="24"/>
          <w:szCs w:val="24"/>
        </w:rPr>
        <w:t>METODE PENELITIAN</w:t>
      </w:r>
    </w:p>
    <w:p>
      <w:pPr>
        <w:tabs>
          <w:tab w:val="left" w:pos="567"/>
        </w:tabs>
        <w:spacing w:after="0" w:line="240" w:lineRule="auto"/>
        <w:jc w:val="both"/>
        <w:rPr>
          <w:rFonts w:ascii="Times New Roman" w:hAnsi="Times New Roman"/>
          <w:sz w:val="24"/>
          <w:szCs w:val="24"/>
        </w:rPr>
      </w:pPr>
      <w:r>
        <w:rPr>
          <w:rFonts w:ascii="Times New Roman" w:hAnsi="Times New Roman"/>
          <w:sz w:val="24"/>
          <w:szCs w:val="24"/>
        </w:rPr>
        <w:t xml:space="preserve">Penelitian ini merupakan penelitian kuantitatif dimana penelitian ini bertujuan membuktikan kebenaran hipotesis. Penelitian ini dilakukn pada 19 kabupaten dan kota di Sumatera Barat. Data diperoleh melalui website </w:t>
      </w:r>
      <w:r>
        <w:fldChar w:fldCharType="begin"/>
      </w:r>
      <w:r>
        <w:instrText xml:space="preserve"> HYPERLINK "http://www.idx.go.id" </w:instrText>
      </w:r>
      <w:r>
        <w:fldChar w:fldCharType="separate"/>
      </w:r>
      <w:r>
        <w:rPr>
          <w:rStyle w:val="4"/>
          <w:rFonts w:ascii="Times New Roman" w:hAnsi="Times New Roman"/>
          <w:sz w:val="24"/>
          <w:szCs w:val="24"/>
        </w:rPr>
        <w:t>www.idx.go.id</w:t>
      </w:r>
      <w:r>
        <w:rPr>
          <w:rStyle w:val="4"/>
          <w:rFonts w:ascii="Times New Roman" w:hAnsi="Times New Roman"/>
          <w:sz w:val="24"/>
          <w:szCs w:val="24"/>
        </w:rPr>
        <w:fldChar w:fldCharType="end"/>
      </w:r>
      <w:r>
        <w:rPr>
          <w:rFonts w:ascii="Times New Roman" w:hAnsi="Times New Roman"/>
          <w:sz w:val="24"/>
          <w:szCs w:val="24"/>
        </w:rPr>
        <w:t>. Data yang digunakan dari tahun 2015 sampai dengan 2019 yang lalu.</w:t>
      </w:r>
    </w:p>
    <w:p>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Pada penelitian ini variabel penelitian yang digunakan meliputi belanja modal, pertumbuhan ekonomi, pendapatan asli daerah, dana alokasi khusus dan sisa lebih pembiayaan anggaran. Metode analisis data yang digunakan adalah regresi data panel. Prosedur pengolahan data dimulai dari pengujian asumsi klasik yang terdiri dari uji normalitas, pengujian multikolinearitas dan pengujian heteroskedastisitas </w:t>
      </w:r>
      <w:r>
        <w:rPr>
          <w:rFonts w:ascii="Times New Roman" w:hAnsi="Times New Roman"/>
          <w:sz w:val="24"/>
          <w:szCs w:val="24"/>
        </w:rPr>
        <w:fldChar w:fldCharType="begin" w:fldLock="1"/>
      </w:r>
      <w:r>
        <w:rPr>
          <w:rFonts w:ascii="Times New Roman" w:hAnsi="Times New Roman"/>
          <w:sz w:val="24"/>
          <w:szCs w:val="24"/>
        </w:rPr>
        <w:instrText xml:space="preserve">ADDIN CSL_CITATION {"citationItems":[{"id":"ITEM-1","itemData":{"abstract":"The objectives of this study are :1) to find out the development of capital expenditure, good and service expenditure on budget surplus in districts/cities in Central Sulawesi; 2) to find out and analize simultaneous influence of capital expenditure, good and service expenditures on budget surplus in districts/cities in Central Sulawesi; 3) to find out and analyze partial influence of capital expenditure on budget surplus in districts /cities in Central Sulawesi ; 4) to find out and analyze partial influence of good and service expenditures on budget surplus in districts/cities in Central Sulawesi. Population of this study consists of 13 districts/cities in Central Sulawesi and 11 districts/cities are selected as sample based on purposive sampling method. The research method used is verivication by means of multiple linear regressions analysis. The results of the test show that 50,40% of budget surplus is influenced by capital expenditure and good and service expenditure : while 49,6% is influenced by other factors, Multiple linear regression tests indicate that capital expenditure, good and service expenditures simultaneously and partially have significant","author":[{"dropping-particle":"","family":"Iswahyudin","given":"","non-dropping-particle":"","parse-names":false,"suffix":""}],"container-title":"Jurnal Katalogis","id":"ITEM-1","issue":"6","issued":{"date-parts":[["2016"]]},"page":"152-168","title":"Pengaruh Belanja Modal, Belanja Barang dan Jasa Terhadap Sisa Lebih Anggaran (SiLPA) Kabuoaten/Kota di Sulawesi Tengah","type":"article-journal","volume":"4"},"uris":["http://www.mendeley.com/documents/?uuid=106815e1-73f0-493b-b6ab-774781d7eacd"]}],"mendeley":{"formattedCitation":"(Iswahyudin, 2016)","plainTextFormattedCitation":"(Iswahyudin, 2016)","previouslyFormattedCitation":"(Iswahyudin, 2016)"},"properties":{"noteIndex":0},"schema":"https://github.com/citation-style-language/schema/raw/master/csl-citation.json"}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rPr>
        <w:t>(Iswahyudin, 2016)</w:t>
      </w:r>
      <w:r>
        <w:rPr>
          <w:rFonts w:ascii="Times New Roman" w:hAnsi="Times New Roman"/>
          <w:sz w:val="24"/>
          <w:szCs w:val="24"/>
        </w:rPr>
        <w:fldChar w:fldCharType="end"/>
      </w:r>
      <w:r>
        <w:rPr>
          <w:rFonts w:ascii="Times New Roman" w:hAnsi="Times New Roman"/>
          <w:sz w:val="24"/>
          <w:szCs w:val="24"/>
        </w:rPr>
        <w:t>.</w:t>
      </w:r>
    </w:p>
    <w:p>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Setelah proses tersebut terpenuhi maka analisis regresi data panel ditandai dengan pemilihan efek regresi data panel, mulai dari uji Chow, uji Hausman dan uji Langrage Multiplier. Setelah proses tersebut terpenuhi maka analisis efek regresi data panel dapat dilakukan </w:t>
      </w:r>
      <w:r>
        <w:rPr>
          <w:rFonts w:ascii="Times New Roman" w:hAnsi="Times New Roman"/>
          <w:sz w:val="24"/>
          <w:szCs w:val="24"/>
        </w:rPr>
        <w:fldChar w:fldCharType="begin" w:fldLock="1"/>
      </w:r>
      <w:r>
        <w:rPr>
          <w:rFonts w:ascii="Times New Roman" w:hAnsi="Times New Roman"/>
          <w:sz w:val="24"/>
          <w:szCs w:val="24"/>
        </w:rPr>
        <w:instrText xml:space="preserve">ADDIN CSL_CITATION {"citationItems":[{"id":"ITEM-1","itemData":{"author":[{"dropping-particle":"","family":"Winarno","given":"Wing Wahyu","non-dropping-particle":"","parse-names":false,"suffix":""}],"edition":"Cetakan 5","id":"ITEM-1","issued":{"date-parts":[["2014"]]},"number-of-pages":"189","publisher":"UPP STIM YKPN","publisher-place":"Sleman Yogyakarta","title":"Analisis Ekonometrika dan Statistika dengan Menggunakan Eviews","type":"book"},"uris":["http://www.mendeley.com/documents/?uuid=70a2d862-e255-4b02-a2cc-813fb91916e5"]}],"mendeley":{"formattedCitation":"(Winarno, 2014)","plainTextFormattedCitation":"(Winarno, 2014)","previouslyFormattedCitation":"(Winarno, 2014)"},"properties":{"noteIndex":0},"schema":"https://github.com/citation-style-language/schema/raw/master/csl-citation.json"}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sz w:val="24"/>
          <w:szCs w:val="24"/>
        </w:rPr>
        <w:t>(Winarno, 2014)</w:t>
      </w:r>
      <w:r>
        <w:rPr>
          <w:rFonts w:ascii="Times New Roman" w:hAnsi="Times New Roman"/>
          <w:sz w:val="24"/>
          <w:szCs w:val="24"/>
        </w:rPr>
        <w:fldChar w:fldCharType="end"/>
      </w:r>
      <w:r>
        <w:rPr>
          <w:rFonts w:ascii="Times New Roman" w:hAnsi="Times New Roman"/>
          <w:sz w:val="24"/>
          <w:szCs w:val="24"/>
        </w:rPr>
        <w:t xml:space="preserve">. Pengujian hipotesis dilakukan dengan menggunakn uji t-statistik. Dimana signifikannya hasil analisis ditentukan dari perbandingan antara sig dengan tingkat kesalahan 0.05. Proses pengolahan data dilkukan dengan menggunakan bantuan program Eviews 9.0. </w:t>
      </w:r>
    </w:p>
    <w:p>
      <w:pPr>
        <w:autoSpaceDE w:val="0"/>
        <w:autoSpaceDN w:val="0"/>
        <w:adjustRightInd w:val="0"/>
        <w:spacing w:after="0" w:line="240" w:lineRule="auto"/>
        <w:jc w:val="both"/>
        <w:rPr>
          <w:rFonts w:ascii="Times New Roman" w:hAnsi="Times New Roman"/>
          <w:sz w:val="24"/>
          <w:szCs w:val="24"/>
        </w:rPr>
      </w:pPr>
    </w:p>
    <w:p>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HASIL DAN PEMBAHASAN</w:t>
      </w:r>
    </w:p>
    <w:p>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Penelitian ini bertujuan untuk membuktikan dan menganalisis pengaruh pertumbuhan ekonomi, pendapatan asli daerah, dana alokasi umum dan sisa lebih pembiayaan terhadap belanja modal. Proses pengolahan data dilakukan dengan bantuan Eviews versi 9.0. Berdasarkan hasil pengujian hipotesis yang telah dilakukan diperoleh ringkasan hasil terlihat pada tabel 1 dibawah ini</w:t>
      </w:r>
    </w:p>
    <w:p>
      <w:pPr>
        <w:autoSpaceDE w:val="0"/>
        <w:autoSpaceDN w:val="0"/>
        <w:adjustRightInd w:val="0"/>
        <w:spacing w:after="0" w:line="240" w:lineRule="auto"/>
        <w:jc w:val="both"/>
        <w:rPr>
          <w:rFonts w:ascii="Times New Roman" w:hAnsi="Times New Roman"/>
          <w:sz w:val="24"/>
          <w:szCs w:val="24"/>
        </w:rPr>
      </w:pPr>
    </w:p>
    <w:p>
      <w:pPr>
        <w:pStyle w:val="7"/>
        <w:spacing w:line="240" w:lineRule="auto"/>
        <w:ind w:left="-990"/>
        <w:jc w:val="center"/>
        <w:rPr>
          <w:rFonts w:ascii="Times New Roman" w:hAnsi="Times New Roman"/>
          <w:b/>
        </w:rPr>
      </w:pPr>
      <w:r>
        <w:rPr>
          <w:rFonts w:ascii="Times New Roman" w:hAnsi="Times New Roman"/>
          <w:b/>
        </w:rPr>
        <w:t>Tabel 1 Hasil Pengujian Hipotesis</w:t>
      </w:r>
    </w:p>
    <w:tbl>
      <w:tblPr>
        <w:tblStyle w:val="6"/>
        <w:tblW w:w="5538" w:type="dxa"/>
        <w:jc w:val="right"/>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80"/>
        <w:gridCol w:w="796"/>
        <w:gridCol w:w="786"/>
        <w:gridCol w:w="807"/>
        <w:gridCol w:w="969"/>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right"/>
        </w:trPr>
        <w:tc>
          <w:tcPr>
            <w:tcW w:w="2191" w:type="dxa"/>
            <w:tcBorders>
              <w:top w:val="single" w:color="auto" w:sz="4" w:space="0"/>
              <w:bottom w:val="single" w:color="auto" w:sz="4" w:space="0"/>
            </w:tcBorders>
            <w:vAlign w:val="center"/>
          </w:tcPr>
          <w:p>
            <w:pPr>
              <w:pStyle w:val="7"/>
              <w:spacing w:after="0" w:line="240" w:lineRule="auto"/>
              <w:ind w:left="0"/>
              <w:jc w:val="center"/>
              <w:rPr>
                <w:rFonts w:ascii="Times New Roman" w:hAnsi="Times New Roman"/>
                <w:b/>
                <w:sz w:val="20"/>
                <w:szCs w:val="20"/>
              </w:rPr>
            </w:pPr>
            <w:r>
              <w:rPr>
                <w:rFonts w:ascii="Times New Roman" w:hAnsi="Times New Roman"/>
                <w:b/>
                <w:sz w:val="20"/>
                <w:szCs w:val="20"/>
              </w:rPr>
              <w:t>Keterngan</w:t>
            </w:r>
          </w:p>
        </w:tc>
        <w:tc>
          <w:tcPr>
            <w:tcW w:w="797" w:type="dxa"/>
            <w:tcBorders>
              <w:top w:val="single" w:color="auto" w:sz="4" w:space="0"/>
              <w:bottom w:val="single" w:color="auto" w:sz="4" w:space="0"/>
            </w:tcBorders>
            <w:vAlign w:val="center"/>
          </w:tcPr>
          <w:p>
            <w:pPr>
              <w:pStyle w:val="7"/>
              <w:spacing w:after="0" w:line="240" w:lineRule="auto"/>
              <w:ind w:left="0"/>
              <w:jc w:val="center"/>
              <w:rPr>
                <w:rFonts w:ascii="Times New Roman" w:hAnsi="Times New Roman"/>
                <w:b/>
                <w:sz w:val="20"/>
                <w:szCs w:val="20"/>
              </w:rPr>
            </w:pPr>
            <w:r>
              <w:rPr>
                <w:rFonts w:ascii="Times New Roman" w:hAnsi="Times New Roman" w:cs="Times New Roman"/>
                <w:b/>
                <w:sz w:val="20"/>
                <w:szCs w:val="20"/>
              </w:rPr>
              <w:t>β</w:t>
            </w:r>
          </w:p>
        </w:tc>
        <w:tc>
          <w:tcPr>
            <w:tcW w:w="771" w:type="dxa"/>
            <w:tcBorders>
              <w:top w:val="single" w:color="auto" w:sz="4" w:space="0"/>
              <w:bottom w:val="single" w:color="auto" w:sz="4" w:space="0"/>
            </w:tcBorders>
            <w:vAlign w:val="center"/>
          </w:tcPr>
          <w:p>
            <w:pPr>
              <w:pStyle w:val="7"/>
              <w:spacing w:after="0" w:line="240" w:lineRule="auto"/>
              <w:ind w:left="0"/>
              <w:jc w:val="center"/>
              <w:rPr>
                <w:rFonts w:ascii="Times New Roman" w:hAnsi="Times New Roman"/>
                <w:b/>
                <w:sz w:val="20"/>
                <w:szCs w:val="20"/>
              </w:rPr>
            </w:pPr>
            <w:r>
              <w:rPr>
                <w:rFonts w:ascii="Times New Roman" w:hAnsi="Times New Roman"/>
                <w:b/>
                <w:sz w:val="20"/>
                <w:szCs w:val="20"/>
              </w:rPr>
              <w:t>Prob</w:t>
            </w:r>
          </w:p>
        </w:tc>
        <w:tc>
          <w:tcPr>
            <w:tcW w:w="810" w:type="dxa"/>
            <w:tcBorders>
              <w:top w:val="single" w:color="auto" w:sz="4" w:space="0"/>
              <w:bottom w:val="single" w:color="auto" w:sz="4" w:space="0"/>
            </w:tcBorders>
            <w:vAlign w:val="center"/>
          </w:tcPr>
          <w:p>
            <w:pPr>
              <w:pStyle w:val="7"/>
              <w:spacing w:after="0" w:line="240" w:lineRule="auto"/>
              <w:ind w:left="0"/>
              <w:jc w:val="center"/>
              <w:rPr>
                <w:rFonts w:ascii="Times New Roman" w:hAnsi="Times New Roman"/>
                <w:b/>
                <w:sz w:val="20"/>
                <w:szCs w:val="20"/>
              </w:rPr>
            </w:pPr>
            <w:r>
              <w:rPr>
                <w:rFonts w:ascii="Times New Roman" w:hAnsi="Times New Roman"/>
                <w:b/>
                <w:sz w:val="20"/>
                <w:szCs w:val="20"/>
              </w:rPr>
              <w:t>Cut Off</w:t>
            </w:r>
          </w:p>
        </w:tc>
        <w:tc>
          <w:tcPr>
            <w:tcW w:w="969" w:type="dxa"/>
            <w:tcBorders>
              <w:top w:val="single" w:color="auto" w:sz="4" w:space="0"/>
              <w:bottom w:val="single" w:color="auto" w:sz="4" w:space="0"/>
            </w:tcBorders>
            <w:vAlign w:val="center"/>
          </w:tcPr>
          <w:p>
            <w:pPr>
              <w:pStyle w:val="7"/>
              <w:spacing w:after="0" w:line="240" w:lineRule="auto"/>
              <w:ind w:left="0"/>
              <w:jc w:val="center"/>
              <w:rPr>
                <w:rFonts w:ascii="Times New Roman" w:hAnsi="Times New Roman"/>
                <w:b/>
                <w:sz w:val="20"/>
                <w:szCs w:val="20"/>
              </w:rPr>
            </w:pPr>
            <w:r>
              <w:rPr>
                <w:rFonts w:ascii="Times New Roman" w:hAnsi="Times New Roman"/>
                <w:b/>
                <w:sz w:val="20"/>
                <w:szCs w:val="20"/>
              </w:rPr>
              <w:t>Hasil</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jc w:val="right"/>
        </w:trPr>
        <w:tc>
          <w:tcPr>
            <w:tcW w:w="2191" w:type="dxa"/>
            <w:tcBorders>
              <w:top w:val="single" w:color="auto" w:sz="4" w:space="0"/>
            </w:tcBorders>
            <w:vAlign w:val="center"/>
          </w:tcPr>
          <w:p>
            <w:pPr>
              <w:pStyle w:val="7"/>
              <w:spacing w:after="0" w:line="240" w:lineRule="auto"/>
              <w:ind w:left="0"/>
              <w:jc w:val="both"/>
              <w:rPr>
                <w:rFonts w:ascii="Times New Roman" w:hAnsi="Times New Roman"/>
                <w:b/>
                <w:sz w:val="20"/>
                <w:szCs w:val="20"/>
              </w:rPr>
            </w:pPr>
            <w:r>
              <w:rPr>
                <w:rFonts w:ascii="Times New Roman" w:hAnsi="Times New Roman"/>
                <w:b/>
                <w:sz w:val="20"/>
                <w:szCs w:val="20"/>
              </w:rPr>
              <w:t>Constanta</w:t>
            </w:r>
          </w:p>
        </w:tc>
        <w:tc>
          <w:tcPr>
            <w:tcW w:w="797" w:type="dxa"/>
            <w:tcBorders>
              <w:top w:val="single" w:color="auto" w:sz="4" w:space="0"/>
            </w:tcBorders>
            <w:vAlign w:val="bottom"/>
          </w:tcPr>
          <w:p>
            <w:pPr>
              <w:autoSpaceDE w:val="0"/>
              <w:autoSpaceDN w:val="0"/>
              <w:adjustRightInd w:val="0"/>
              <w:spacing w:after="0" w:line="240" w:lineRule="auto"/>
              <w:ind w:right="20"/>
              <w:jc w:val="right"/>
              <w:rPr>
                <w:rFonts w:ascii="Times New Roman" w:hAnsi="Times New Roman"/>
                <w:color w:val="000000"/>
                <w:sz w:val="20"/>
                <w:szCs w:val="20"/>
              </w:rPr>
            </w:pPr>
            <w:r>
              <w:rPr>
                <w:rFonts w:ascii="Times New Roman" w:hAnsi="Times New Roman"/>
                <w:color w:val="000000"/>
                <w:sz w:val="20"/>
                <w:szCs w:val="20"/>
              </w:rPr>
              <w:t>7.111</w:t>
            </w:r>
          </w:p>
        </w:tc>
        <w:tc>
          <w:tcPr>
            <w:tcW w:w="771" w:type="dxa"/>
            <w:tcBorders>
              <w:top w:val="single" w:color="auto" w:sz="4" w:space="0"/>
            </w:tcBorders>
            <w:vAlign w:val="center"/>
          </w:tcPr>
          <w:p>
            <w:pPr>
              <w:pStyle w:val="7"/>
              <w:spacing w:after="0" w:line="240" w:lineRule="auto"/>
              <w:ind w:left="0"/>
              <w:jc w:val="center"/>
              <w:rPr>
                <w:rFonts w:ascii="Times New Roman" w:hAnsi="Times New Roman"/>
                <w:b/>
                <w:sz w:val="20"/>
                <w:szCs w:val="20"/>
              </w:rPr>
            </w:pPr>
          </w:p>
        </w:tc>
        <w:tc>
          <w:tcPr>
            <w:tcW w:w="810" w:type="dxa"/>
            <w:tcBorders>
              <w:top w:val="single" w:color="auto" w:sz="4" w:space="0"/>
            </w:tcBorders>
            <w:vAlign w:val="center"/>
          </w:tcPr>
          <w:p>
            <w:pPr>
              <w:pStyle w:val="7"/>
              <w:spacing w:after="0" w:line="240" w:lineRule="auto"/>
              <w:ind w:left="0"/>
              <w:jc w:val="center"/>
              <w:rPr>
                <w:rFonts w:ascii="Times New Roman" w:hAnsi="Times New Roman"/>
                <w:b/>
                <w:sz w:val="20"/>
                <w:szCs w:val="20"/>
              </w:rPr>
            </w:pPr>
          </w:p>
        </w:tc>
        <w:tc>
          <w:tcPr>
            <w:tcW w:w="969" w:type="dxa"/>
            <w:tcBorders>
              <w:top w:val="single" w:color="auto" w:sz="4" w:space="0"/>
            </w:tcBorders>
          </w:tcPr>
          <w:p>
            <w:pPr>
              <w:pStyle w:val="7"/>
              <w:spacing w:after="0" w:line="240" w:lineRule="auto"/>
              <w:ind w:left="0"/>
              <w:jc w:val="center"/>
              <w:rPr>
                <w:rFonts w:ascii="Times New Roman" w:hAnsi="Times New Roman"/>
                <w:b/>
                <w:sz w:val="20"/>
                <w:szCs w:val="20"/>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2191" w:type="dxa"/>
          </w:tcPr>
          <w:p>
            <w:pPr>
              <w:pStyle w:val="5"/>
              <w:spacing w:before="0" w:beforeAutospacing="0" w:after="0" w:afterAutospacing="0"/>
              <w:jc w:val="both"/>
              <w:rPr>
                <w:sz w:val="20"/>
                <w:szCs w:val="20"/>
                <w:lang w:val="en-US"/>
              </w:rPr>
            </w:pPr>
            <w:r>
              <w:rPr>
                <w:sz w:val="20"/>
                <w:szCs w:val="20"/>
                <w:lang w:val="en-US"/>
              </w:rPr>
              <w:t>Pertumbuhan Ekonomi</w:t>
            </w:r>
          </w:p>
        </w:tc>
        <w:tc>
          <w:tcPr>
            <w:tcW w:w="797" w:type="dxa"/>
            <w:vAlign w:val="bottom"/>
          </w:tcPr>
          <w:p>
            <w:pPr>
              <w:autoSpaceDE w:val="0"/>
              <w:autoSpaceDN w:val="0"/>
              <w:adjustRightInd w:val="0"/>
              <w:spacing w:after="0" w:line="240" w:lineRule="auto"/>
              <w:ind w:right="20"/>
              <w:jc w:val="right"/>
              <w:rPr>
                <w:rFonts w:ascii="Times New Roman" w:hAnsi="Times New Roman"/>
                <w:color w:val="000000"/>
                <w:sz w:val="20"/>
                <w:szCs w:val="20"/>
              </w:rPr>
            </w:pPr>
            <w:r>
              <w:rPr>
                <w:rFonts w:ascii="Times New Roman" w:hAnsi="Times New Roman"/>
                <w:color w:val="000000"/>
                <w:sz w:val="20"/>
                <w:szCs w:val="20"/>
              </w:rPr>
              <w:t>0.205</w:t>
            </w:r>
          </w:p>
        </w:tc>
        <w:tc>
          <w:tcPr>
            <w:tcW w:w="771" w:type="dxa"/>
            <w:vAlign w:val="bottom"/>
          </w:tcPr>
          <w:p>
            <w:pPr>
              <w:autoSpaceDE w:val="0"/>
              <w:autoSpaceDN w:val="0"/>
              <w:adjustRightInd w:val="0"/>
              <w:spacing w:after="0" w:line="240" w:lineRule="auto"/>
              <w:ind w:right="20"/>
              <w:jc w:val="right"/>
              <w:rPr>
                <w:rFonts w:ascii="Times New Roman" w:hAnsi="Times New Roman"/>
                <w:color w:val="000000"/>
                <w:sz w:val="20"/>
                <w:szCs w:val="20"/>
              </w:rPr>
            </w:pPr>
            <w:r>
              <w:rPr>
                <w:rFonts w:ascii="Times New Roman" w:hAnsi="Times New Roman"/>
                <w:color w:val="000000"/>
                <w:sz w:val="20"/>
                <w:szCs w:val="20"/>
              </w:rPr>
              <w:t>0.0000</w:t>
            </w:r>
          </w:p>
        </w:tc>
        <w:tc>
          <w:tcPr>
            <w:tcW w:w="810" w:type="dxa"/>
          </w:tcPr>
          <w:p>
            <w:pPr>
              <w:pStyle w:val="7"/>
              <w:spacing w:after="0" w:line="240" w:lineRule="auto"/>
              <w:ind w:left="0"/>
              <w:jc w:val="center"/>
              <w:rPr>
                <w:rFonts w:ascii="Times New Roman" w:hAnsi="Times New Roman"/>
                <w:sz w:val="20"/>
                <w:szCs w:val="20"/>
              </w:rPr>
            </w:pPr>
            <w:r>
              <w:rPr>
                <w:rFonts w:ascii="Times New Roman" w:hAnsi="Times New Roman"/>
                <w:sz w:val="20"/>
                <w:szCs w:val="20"/>
              </w:rPr>
              <w:t>0.05</w:t>
            </w:r>
          </w:p>
        </w:tc>
        <w:tc>
          <w:tcPr>
            <w:tcW w:w="969" w:type="dxa"/>
          </w:tcPr>
          <w:p>
            <w:pPr>
              <w:pStyle w:val="7"/>
              <w:spacing w:after="0" w:line="240" w:lineRule="auto"/>
              <w:ind w:left="0"/>
              <w:jc w:val="center"/>
              <w:rPr>
                <w:rFonts w:ascii="Times New Roman" w:hAnsi="Times New Roman"/>
                <w:sz w:val="20"/>
                <w:szCs w:val="20"/>
              </w:rPr>
            </w:pPr>
            <w:r>
              <w:rPr>
                <w:rFonts w:ascii="Times New Roman" w:hAnsi="Times New Roman"/>
                <w:sz w:val="20"/>
                <w:szCs w:val="20"/>
              </w:rPr>
              <w:t>Diterima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2191" w:type="dxa"/>
          </w:tcPr>
          <w:p>
            <w:pPr>
              <w:pStyle w:val="5"/>
              <w:spacing w:before="0" w:beforeAutospacing="0" w:after="0" w:afterAutospacing="0"/>
              <w:jc w:val="both"/>
              <w:rPr>
                <w:sz w:val="20"/>
                <w:szCs w:val="20"/>
                <w:lang w:val="en-US"/>
              </w:rPr>
            </w:pPr>
            <w:r>
              <w:rPr>
                <w:sz w:val="20"/>
                <w:szCs w:val="20"/>
                <w:lang w:val="en-US"/>
              </w:rPr>
              <w:t>Pendapatan Asli Daerah</w:t>
            </w:r>
          </w:p>
        </w:tc>
        <w:tc>
          <w:tcPr>
            <w:tcW w:w="797" w:type="dxa"/>
            <w:vAlign w:val="bottom"/>
          </w:tcPr>
          <w:p>
            <w:pPr>
              <w:autoSpaceDE w:val="0"/>
              <w:autoSpaceDN w:val="0"/>
              <w:adjustRightInd w:val="0"/>
              <w:spacing w:after="0" w:line="240" w:lineRule="auto"/>
              <w:ind w:right="20"/>
              <w:jc w:val="right"/>
              <w:rPr>
                <w:rFonts w:ascii="Times New Roman" w:hAnsi="Times New Roman"/>
                <w:color w:val="000000"/>
                <w:sz w:val="20"/>
                <w:szCs w:val="20"/>
              </w:rPr>
            </w:pPr>
            <w:r>
              <w:rPr>
                <w:rFonts w:ascii="Times New Roman" w:hAnsi="Times New Roman"/>
                <w:color w:val="000000"/>
                <w:sz w:val="20"/>
                <w:szCs w:val="20"/>
              </w:rPr>
              <w:t>0.422</w:t>
            </w:r>
          </w:p>
        </w:tc>
        <w:tc>
          <w:tcPr>
            <w:tcW w:w="771" w:type="dxa"/>
            <w:vAlign w:val="bottom"/>
          </w:tcPr>
          <w:p>
            <w:pPr>
              <w:autoSpaceDE w:val="0"/>
              <w:autoSpaceDN w:val="0"/>
              <w:adjustRightInd w:val="0"/>
              <w:spacing w:after="0" w:line="240" w:lineRule="auto"/>
              <w:ind w:right="20"/>
              <w:jc w:val="right"/>
              <w:rPr>
                <w:rFonts w:ascii="Times New Roman" w:hAnsi="Times New Roman"/>
                <w:color w:val="000000"/>
                <w:sz w:val="20"/>
                <w:szCs w:val="20"/>
              </w:rPr>
            </w:pPr>
            <w:r>
              <w:rPr>
                <w:rFonts w:ascii="Times New Roman" w:hAnsi="Times New Roman"/>
                <w:color w:val="000000"/>
                <w:sz w:val="20"/>
                <w:szCs w:val="20"/>
              </w:rPr>
              <w:t>0.0000</w:t>
            </w:r>
          </w:p>
        </w:tc>
        <w:tc>
          <w:tcPr>
            <w:tcW w:w="810" w:type="dxa"/>
          </w:tcPr>
          <w:p>
            <w:pPr>
              <w:pStyle w:val="7"/>
              <w:spacing w:after="0" w:line="240" w:lineRule="auto"/>
              <w:ind w:left="0"/>
              <w:jc w:val="center"/>
              <w:rPr>
                <w:rFonts w:ascii="Times New Roman" w:hAnsi="Times New Roman"/>
                <w:sz w:val="20"/>
                <w:szCs w:val="20"/>
              </w:rPr>
            </w:pPr>
            <w:r>
              <w:rPr>
                <w:rFonts w:ascii="Times New Roman" w:hAnsi="Times New Roman"/>
                <w:sz w:val="20"/>
                <w:szCs w:val="20"/>
              </w:rPr>
              <w:t>0.05</w:t>
            </w:r>
          </w:p>
        </w:tc>
        <w:tc>
          <w:tcPr>
            <w:tcW w:w="969" w:type="dxa"/>
          </w:tcPr>
          <w:p>
            <w:pPr>
              <w:pStyle w:val="7"/>
              <w:spacing w:after="0" w:line="240" w:lineRule="auto"/>
              <w:ind w:left="0"/>
              <w:jc w:val="center"/>
              <w:rPr>
                <w:rFonts w:ascii="Times New Roman" w:hAnsi="Times New Roman"/>
                <w:sz w:val="20"/>
                <w:szCs w:val="20"/>
              </w:rPr>
            </w:pPr>
            <w:r>
              <w:rPr>
                <w:rFonts w:ascii="Times New Roman" w:hAnsi="Times New Roman"/>
                <w:sz w:val="20"/>
                <w:szCs w:val="20"/>
              </w:rPr>
              <w:t>Diterima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2191" w:type="dxa"/>
          </w:tcPr>
          <w:p>
            <w:pPr>
              <w:pStyle w:val="5"/>
              <w:spacing w:before="0" w:beforeAutospacing="0" w:after="0" w:afterAutospacing="0"/>
              <w:jc w:val="both"/>
              <w:rPr>
                <w:sz w:val="20"/>
                <w:szCs w:val="20"/>
                <w:lang w:val="en-US"/>
              </w:rPr>
            </w:pPr>
            <w:r>
              <w:rPr>
                <w:sz w:val="20"/>
                <w:szCs w:val="20"/>
                <w:lang w:val="en-US"/>
              </w:rPr>
              <w:t>Dana Alokasi Umum</w:t>
            </w:r>
          </w:p>
        </w:tc>
        <w:tc>
          <w:tcPr>
            <w:tcW w:w="797" w:type="dxa"/>
            <w:vAlign w:val="bottom"/>
          </w:tcPr>
          <w:p>
            <w:pPr>
              <w:autoSpaceDE w:val="0"/>
              <w:autoSpaceDN w:val="0"/>
              <w:adjustRightInd w:val="0"/>
              <w:spacing w:after="0" w:line="240" w:lineRule="auto"/>
              <w:ind w:right="20"/>
              <w:jc w:val="right"/>
              <w:rPr>
                <w:rFonts w:ascii="Times New Roman" w:hAnsi="Times New Roman"/>
                <w:color w:val="000000"/>
                <w:sz w:val="20"/>
                <w:szCs w:val="20"/>
              </w:rPr>
            </w:pPr>
            <w:r>
              <w:rPr>
                <w:rFonts w:ascii="Times New Roman" w:hAnsi="Times New Roman"/>
                <w:color w:val="000000"/>
                <w:sz w:val="20"/>
                <w:szCs w:val="20"/>
              </w:rPr>
              <w:t>0.097</w:t>
            </w:r>
          </w:p>
        </w:tc>
        <w:tc>
          <w:tcPr>
            <w:tcW w:w="771" w:type="dxa"/>
            <w:vAlign w:val="bottom"/>
          </w:tcPr>
          <w:p>
            <w:pPr>
              <w:autoSpaceDE w:val="0"/>
              <w:autoSpaceDN w:val="0"/>
              <w:adjustRightInd w:val="0"/>
              <w:spacing w:after="0" w:line="240" w:lineRule="auto"/>
              <w:ind w:right="20"/>
              <w:jc w:val="right"/>
              <w:rPr>
                <w:rFonts w:ascii="Times New Roman" w:hAnsi="Times New Roman"/>
                <w:color w:val="000000"/>
                <w:sz w:val="20"/>
                <w:szCs w:val="20"/>
              </w:rPr>
            </w:pPr>
            <w:r>
              <w:rPr>
                <w:rFonts w:ascii="Times New Roman" w:hAnsi="Times New Roman"/>
                <w:color w:val="000000"/>
                <w:sz w:val="20"/>
                <w:szCs w:val="20"/>
              </w:rPr>
              <w:t>0.0418</w:t>
            </w:r>
          </w:p>
        </w:tc>
        <w:tc>
          <w:tcPr>
            <w:tcW w:w="810" w:type="dxa"/>
          </w:tcPr>
          <w:p>
            <w:pPr>
              <w:pStyle w:val="7"/>
              <w:spacing w:after="0" w:line="240" w:lineRule="auto"/>
              <w:ind w:left="0"/>
              <w:jc w:val="center"/>
              <w:rPr>
                <w:rFonts w:ascii="Times New Roman" w:hAnsi="Times New Roman"/>
                <w:sz w:val="20"/>
                <w:szCs w:val="20"/>
              </w:rPr>
            </w:pPr>
            <w:r>
              <w:rPr>
                <w:rFonts w:ascii="Times New Roman" w:hAnsi="Times New Roman"/>
                <w:sz w:val="20"/>
                <w:szCs w:val="20"/>
              </w:rPr>
              <w:t>0.05</w:t>
            </w:r>
          </w:p>
        </w:tc>
        <w:tc>
          <w:tcPr>
            <w:tcW w:w="969" w:type="dxa"/>
          </w:tcPr>
          <w:p>
            <w:pPr>
              <w:pStyle w:val="7"/>
              <w:spacing w:after="0" w:line="240" w:lineRule="auto"/>
              <w:ind w:left="0"/>
              <w:jc w:val="center"/>
              <w:rPr>
                <w:rFonts w:ascii="Times New Roman" w:hAnsi="Times New Roman"/>
                <w:sz w:val="20"/>
                <w:szCs w:val="20"/>
              </w:rPr>
            </w:pPr>
            <w:r>
              <w:rPr>
                <w:rFonts w:ascii="Times New Roman" w:hAnsi="Times New Roman"/>
                <w:sz w:val="20"/>
                <w:szCs w:val="20"/>
              </w:rPr>
              <w:t>Diterima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2191" w:type="dxa"/>
          </w:tcPr>
          <w:p>
            <w:pPr>
              <w:pStyle w:val="5"/>
              <w:spacing w:before="0" w:beforeAutospacing="0" w:after="0" w:afterAutospacing="0"/>
              <w:jc w:val="both"/>
              <w:rPr>
                <w:sz w:val="20"/>
                <w:szCs w:val="20"/>
                <w:lang w:val="en-US"/>
              </w:rPr>
            </w:pPr>
            <w:r>
              <w:rPr>
                <w:sz w:val="20"/>
                <w:szCs w:val="20"/>
                <w:lang w:val="en-US"/>
              </w:rPr>
              <w:t>Sisa Lebih Pembiayaan</w:t>
            </w:r>
          </w:p>
        </w:tc>
        <w:tc>
          <w:tcPr>
            <w:tcW w:w="797" w:type="dxa"/>
            <w:vAlign w:val="bottom"/>
          </w:tcPr>
          <w:p>
            <w:pPr>
              <w:autoSpaceDE w:val="0"/>
              <w:autoSpaceDN w:val="0"/>
              <w:adjustRightInd w:val="0"/>
              <w:spacing w:after="0" w:line="240" w:lineRule="auto"/>
              <w:ind w:right="20"/>
              <w:jc w:val="right"/>
              <w:rPr>
                <w:rFonts w:ascii="Times New Roman" w:hAnsi="Times New Roman"/>
                <w:color w:val="000000"/>
                <w:sz w:val="20"/>
                <w:szCs w:val="20"/>
              </w:rPr>
            </w:pPr>
            <w:r>
              <w:rPr>
                <w:rFonts w:ascii="Times New Roman" w:hAnsi="Times New Roman"/>
                <w:color w:val="000000"/>
                <w:sz w:val="20"/>
                <w:szCs w:val="20"/>
              </w:rPr>
              <w:t>-0.019</w:t>
            </w:r>
          </w:p>
        </w:tc>
        <w:tc>
          <w:tcPr>
            <w:tcW w:w="771" w:type="dxa"/>
            <w:vAlign w:val="bottom"/>
          </w:tcPr>
          <w:p>
            <w:pPr>
              <w:autoSpaceDE w:val="0"/>
              <w:autoSpaceDN w:val="0"/>
              <w:adjustRightInd w:val="0"/>
              <w:spacing w:after="0" w:line="240" w:lineRule="auto"/>
              <w:ind w:right="20"/>
              <w:jc w:val="right"/>
              <w:rPr>
                <w:rFonts w:ascii="Times New Roman" w:hAnsi="Times New Roman"/>
                <w:color w:val="000000"/>
                <w:sz w:val="20"/>
                <w:szCs w:val="20"/>
              </w:rPr>
            </w:pPr>
            <w:r>
              <w:rPr>
                <w:rFonts w:ascii="Times New Roman" w:hAnsi="Times New Roman"/>
                <w:color w:val="000000"/>
                <w:sz w:val="20"/>
                <w:szCs w:val="20"/>
              </w:rPr>
              <w:t>0.7188</w:t>
            </w:r>
          </w:p>
        </w:tc>
        <w:tc>
          <w:tcPr>
            <w:tcW w:w="810" w:type="dxa"/>
          </w:tcPr>
          <w:p>
            <w:pPr>
              <w:pStyle w:val="7"/>
              <w:spacing w:after="0" w:line="240" w:lineRule="auto"/>
              <w:ind w:left="0"/>
              <w:jc w:val="center"/>
              <w:rPr>
                <w:rFonts w:ascii="Times New Roman" w:hAnsi="Times New Roman"/>
                <w:sz w:val="20"/>
                <w:szCs w:val="20"/>
              </w:rPr>
            </w:pPr>
            <w:r>
              <w:rPr>
                <w:rFonts w:ascii="Times New Roman" w:hAnsi="Times New Roman"/>
                <w:sz w:val="20"/>
                <w:szCs w:val="20"/>
              </w:rPr>
              <w:t>0.05</w:t>
            </w:r>
          </w:p>
        </w:tc>
        <w:tc>
          <w:tcPr>
            <w:tcW w:w="969" w:type="dxa"/>
          </w:tcPr>
          <w:p>
            <w:pPr>
              <w:pStyle w:val="7"/>
              <w:spacing w:after="0" w:line="240" w:lineRule="auto"/>
              <w:ind w:left="0"/>
              <w:jc w:val="center"/>
              <w:rPr>
                <w:rFonts w:ascii="Times New Roman" w:hAnsi="Times New Roman"/>
                <w:sz w:val="20"/>
                <w:szCs w:val="20"/>
              </w:rPr>
            </w:pPr>
            <w:r>
              <w:rPr>
                <w:rFonts w:ascii="Times New Roman" w:hAnsi="Times New Roman"/>
                <w:sz w:val="20"/>
                <w:szCs w:val="20"/>
              </w:rPr>
              <w:t>Ditolak</w:t>
            </w:r>
          </w:p>
        </w:tc>
      </w:tr>
    </w:tbl>
    <w:p>
      <w:pPr>
        <w:autoSpaceDE w:val="0"/>
        <w:autoSpaceDN w:val="0"/>
        <w:adjustRightInd w:val="0"/>
        <w:spacing w:after="0" w:line="240" w:lineRule="auto"/>
        <w:jc w:val="both"/>
        <w:rPr>
          <w:rFonts w:ascii="Times New Roman" w:hAnsi="Times New Roman"/>
          <w:sz w:val="24"/>
          <w:szCs w:val="24"/>
        </w:rPr>
      </w:pPr>
    </w:p>
    <w:p>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Berdasarkan hasil pengujian hipotesis pertama terlihat varibel pertumbuhan ekonomi memiliki prob sebesar 0.000. Hasil yang diperoleh menunujukan pertumbuhan ekonomi berpengaruh positif dan signifikan terhadap belanja modal pada 19 kabupaten dan kota di Sumatera Barat. Pada tahapan pengujian hipotesis kedua ditemukan pendapatan asli daerah memiliki nilai probability sebesar 0.000. dengan demikian nilai P &lt; 0.05 sehingga dapat disimpulkan pendapatan asli daerah berpengaruh positif dan signifikan terhadap belanja modal pada 19 kabupaten dan kota di Sumatera Barat.</w:t>
      </w:r>
    </w:p>
    <w:p>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Pada tahapan pengujian hipotesis ketiga ditemukan  bahwa variabel dana alokasi umum memiliki nilai prob sebesar 0.0418. dengan demikian nilai probability yang diperoleh  berada jauh dibawah 0.05 sehingga dapat disimpulkan dana aloksi khusus berpengaruh positif dan signifikan terhadap belanja modal pada 19 kabupaten dan kota di Sumatera Barat. Selain itu pada pengujian hipotesis keempat ditemukan bahwa variabel sisa lebih pembiayaan memiliki nilai probability sebesar 0.7188. Hasil yang diperoleh menunjukan nilai probability diatas 0.05. Maka dapat disimpulkan sisa lebih pembiayaan tidak berpengaruh signifikan terhadap belanja modal pada 19 kabupaten dan kota di Sumatera Barat.</w:t>
      </w:r>
    </w:p>
    <w:p>
      <w:pPr>
        <w:autoSpaceDE w:val="0"/>
        <w:autoSpaceDN w:val="0"/>
        <w:adjustRightInd w:val="0"/>
        <w:spacing w:after="0" w:line="240" w:lineRule="auto"/>
        <w:jc w:val="both"/>
        <w:rPr>
          <w:rFonts w:ascii="Times New Roman" w:hAnsi="Times New Roman"/>
          <w:sz w:val="24"/>
          <w:szCs w:val="24"/>
        </w:rPr>
      </w:pPr>
    </w:p>
    <w:p>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KESIMPULAN</w:t>
      </w:r>
    </w:p>
    <w:p>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Berdasarkan hasil pengujian hipotesis pertama ditemukan pertumbuhan ekonomi, pendapatan asli daerah dan dana alokasi umum berpengaruh positif dan signifikan terhadap belanja modal pada 19 kabupaten dan kota di Sumatera Barat, sedangkan variabel sisa lebih pembiayaan tidak berpengaruh signifikan terhadap belanja modal pada 19 kabupaten dan kota di Sumatera Barat.</w:t>
      </w:r>
    </w:p>
    <w:p>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Bagi Pemerintah daerah diharapkan dapat terus meningkatkan nilai belanja modal, khususnya ditujukan untuk mengejar ketinggalan pembangunan 19 kabupaten dan kota di Sumatera Barat dari daerah lain. </w:t>
      </w:r>
    </w:p>
    <w:p>
      <w:pPr>
        <w:autoSpaceDE w:val="0"/>
        <w:autoSpaceDN w:val="0"/>
        <w:adjustRightInd w:val="0"/>
        <w:spacing w:after="0" w:line="240" w:lineRule="auto"/>
        <w:jc w:val="both"/>
        <w:rPr>
          <w:rFonts w:ascii="Times New Roman" w:hAnsi="Times New Roman"/>
          <w:sz w:val="24"/>
          <w:szCs w:val="24"/>
        </w:rPr>
      </w:pPr>
    </w:p>
    <w:p>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DAFTAR PUSTAKA</w:t>
      </w:r>
    </w:p>
    <w:p>
      <w:pPr>
        <w:widowControl w:val="0"/>
        <w:autoSpaceDE w:val="0"/>
        <w:autoSpaceDN w:val="0"/>
        <w:adjustRightInd w:val="0"/>
        <w:spacing w:after="0" w:line="240" w:lineRule="auto"/>
        <w:ind w:left="480" w:hanging="480"/>
        <w:jc w:val="both"/>
        <w:rPr>
          <w:rFonts w:ascii="Times New Roman" w:hAnsi="Times New Roman"/>
        </w:rPr>
      </w:pPr>
      <w:r>
        <w:rPr>
          <w:rFonts w:ascii="Times New Roman" w:hAnsi="Times New Roman"/>
        </w:rPr>
        <w:fldChar w:fldCharType="begin" w:fldLock="1"/>
      </w:r>
      <w:r>
        <w:rPr>
          <w:rFonts w:ascii="Times New Roman" w:hAnsi="Times New Roman"/>
        </w:rPr>
        <w:instrText xml:space="preserve">ADDIN Mendeley Bibliography CSL_BIBLIOGRAPHY </w:instrText>
      </w:r>
      <w:r>
        <w:rPr>
          <w:rFonts w:ascii="Times New Roman" w:hAnsi="Times New Roman"/>
        </w:rPr>
        <w:fldChar w:fldCharType="separate"/>
      </w:r>
      <w:r>
        <w:rPr>
          <w:rFonts w:ascii="Times New Roman" w:hAnsi="Times New Roman"/>
        </w:rPr>
        <w:t xml:space="preserve">Hair, J. F., Black, W. C., Babin, B. J., &amp; Anderson, R. E. (2014). </w:t>
      </w:r>
      <w:r>
        <w:rPr>
          <w:rFonts w:ascii="Times New Roman" w:hAnsi="Times New Roman"/>
          <w:i/>
          <w:iCs/>
        </w:rPr>
        <w:t>Multivariate Data Analysis: A Global Perspective</w:t>
      </w:r>
      <w:r>
        <w:rPr>
          <w:rFonts w:ascii="Times New Roman" w:hAnsi="Times New Roman"/>
        </w:rPr>
        <w:t xml:space="preserve"> (7th ed.). New Jersey: Pearson Education.</w:t>
      </w:r>
    </w:p>
    <w:p>
      <w:pPr>
        <w:widowControl w:val="0"/>
        <w:autoSpaceDE w:val="0"/>
        <w:autoSpaceDN w:val="0"/>
        <w:adjustRightInd w:val="0"/>
        <w:spacing w:after="0" w:line="240" w:lineRule="auto"/>
        <w:ind w:left="480" w:hanging="480"/>
        <w:jc w:val="both"/>
        <w:rPr>
          <w:rFonts w:ascii="Times New Roman" w:hAnsi="Times New Roman"/>
        </w:rPr>
      </w:pPr>
      <w:r>
        <w:rPr>
          <w:rFonts w:ascii="Times New Roman" w:hAnsi="Times New Roman"/>
        </w:rPr>
        <w:t xml:space="preserve">Iswahyudin. (2016). Pengaruh Belanja Modal, Belanja Barang dan Jasa Terhadap Sisa Lebih Anggaran (SiLPA) Kabuoaten/Kota di Sulawesi Tengah. </w:t>
      </w:r>
      <w:r>
        <w:rPr>
          <w:rFonts w:ascii="Times New Roman" w:hAnsi="Times New Roman"/>
          <w:i/>
          <w:iCs/>
        </w:rPr>
        <w:t>Jurnal Katalogis</w:t>
      </w:r>
      <w:r>
        <w:rPr>
          <w:rFonts w:ascii="Times New Roman" w:hAnsi="Times New Roman"/>
        </w:rPr>
        <w:t xml:space="preserve">, </w:t>
      </w:r>
      <w:r>
        <w:rPr>
          <w:rFonts w:ascii="Times New Roman" w:hAnsi="Times New Roman"/>
          <w:i/>
          <w:iCs/>
        </w:rPr>
        <w:t>4</w:t>
      </w:r>
      <w:r>
        <w:rPr>
          <w:rFonts w:ascii="Times New Roman" w:hAnsi="Times New Roman"/>
        </w:rPr>
        <w:t>(6), 152–168.</w:t>
      </w:r>
    </w:p>
    <w:p>
      <w:pPr>
        <w:widowControl w:val="0"/>
        <w:autoSpaceDE w:val="0"/>
        <w:autoSpaceDN w:val="0"/>
        <w:adjustRightInd w:val="0"/>
        <w:spacing w:after="0" w:line="240" w:lineRule="auto"/>
        <w:ind w:left="480" w:hanging="480"/>
        <w:jc w:val="both"/>
        <w:rPr>
          <w:rFonts w:ascii="Times New Roman" w:hAnsi="Times New Roman"/>
        </w:rPr>
      </w:pPr>
      <w:r>
        <w:rPr>
          <w:rFonts w:ascii="Times New Roman" w:hAnsi="Times New Roman"/>
        </w:rPr>
        <w:t xml:space="preserve">Syukri, M., &amp; Hinaya. (2019). Pengaruh Pertumbuhan Ekonomi, Pendapatan Asli Daerah, Dana Alokasi Umum Dan Dana Alokasi Khusus Terhadap Anggaran Belanja Modal Kabupaten &amp; Kota Provinsi Sulawesi Selatan. </w:t>
      </w:r>
      <w:r>
        <w:rPr>
          <w:rFonts w:ascii="Times New Roman" w:hAnsi="Times New Roman"/>
          <w:i/>
          <w:iCs/>
        </w:rPr>
        <w:t>JEMMA | Journal of Economic, Management and Accounting</w:t>
      </w:r>
      <w:r>
        <w:rPr>
          <w:rFonts w:ascii="Times New Roman" w:hAnsi="Times New Roman"/>
        </w:rPr>
        <w:t xml:space="preserve">, </w:t>
      </w:r>
      <w:r>
        <w:rPr>
          <w:rFonts w:ascii="Times New Roman" w:hAnsi="Times New Roman"/>
          <w:i/>
          <w:iCs/>
        </w:rPr>
        <w:t>2</w:t>
      </w:r>
      <w:r>
        <w:rPr>
          <w:rFonts w:ascii="Times New Roman" w:hAnsi="Times New Roman"/>
        </w:rPr>
        <w:t>(2), 30. https://doi.org/10.35914/jemma.v2i2.245</w:t>
      </w:r>
    </w:p>
    <w:p>
      <w:pPr>
        <w:widowControl w:val="0"/>
        <w:autoSpaceDE w:val="0"/>
        <w:autoSpaceDN w:val="0"/>
        <w:adjustRightInd w:val="0"/>
        <w:spacing w:after="0" w:line="240" w:lineRule="auto"/>
        <w:ind w:left="480" w:hanging="480"/>
        <w:jc w:val="both"/>
        <w:rPr>
          <w:rFonts w:ascii="Times New Roman" w:hAnsi="Times New Roman"/>
        </w:rPr>
      </w:pPr>
      <w:r>
        <w:rPr>
          <w:rFonts w:ascii="Times New Roman" w:hAnsi="Times New Roman"/>
        </w:rPr>
        <w:t xml:space="preserve">Winarno, W. W. (2014). </w:t>
      </w:r>
      <w:r>
        <w:rPr>
          <w:rFonts w:ascii="Times New Roman" w:hAnsi="Times New Roman"/>
          <w:i/>
          <w:iCs/>
        </w:rPr>
        <w:t>Analisis Ekonometrika dan Statistika dengan Menggunakan Eviews</w:t>
      </w:r>
      <w:r>
        <w:rPr>
          <w:rFonts w:ascii="Times New Roman" w:hAnsi="Times New Roman"/>
        </w:rPr>
        <w:t xml:space="preserve"> (Cetakan 5). Sleman Yogyakarta: UPP STIM YKPN.</w:t>
      </w:r>
    </w:p>
    <w:p>
      <w:pPr>
        <w:autoSpaceDE w:val="0"/>
        <w:autoSpaceDN w:val="0"/>
        <w:adjustRightInd w:val="0"/>
        <w:spacing w:after="0" w:line="240" w:lineRule="auto"/>
        <w:jc w:val="both"/>
        <w:rPr>
          <w:rFonts w:ascii="Times New Roman" w:hAnsi="Times New Roman"/>
          <w:sz w:val="24"/>
          <w:szCs w:val="24"/>
        </w:rPr>
        <w:sectPr>
          <w:type w:val="continuous"/>
          <w:pgSz w:w="12240" w:h="15840"/>
          <w:pgMar w:top="1440" w:right="1440" w:bottom="1440" w:left="1440" w:header="720" w:footer="720" w:gutter="0"/>
          <w:cols w:space="720" w:num="2"/>
          <w:docGrid w:linePitch="360" w:charSpace="0"/>
        </w:sectPr>
      </w:pPr>
      <w:r>
        <w:rPr>
          <w:rFonts w:ascii="Times New Roman" w:hAnsi="Times New Roman"/>
        </w:rPr>
        <w:fldChar w:fldCharType="end"/>
      </w:r>
    </w:p>
    <w:p/>
    <w:sectPr>
      <w:type w:val="continuous"/>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CEE"/>
    <w:rsid w:val="00003AAE"/>
    <w:rsid w:val="00012E84"/>
    <w:rsid w:val="001A1E25"/>
    <w:rsid w:val="0023381A"/>
    <w:rsid w:val="00385164"/>
    <w:rsid w:val="00414048"/>
    <w:rsid w:val="00447132"/>
    <w:rsid w:val="009D1CEE"/>
    <w:rsid w:val="00A03AD2"/>
    <w:rsid w:val="00A911CB"/>
    <w:rsid w:val="00AC681E"/>
    <w:rsid w:val="00D24216"/>
    <w:rsid w:val="00E40EC4"/>
    <w:rsid w:val="00F138B3"/>
    <w:rsid w:val="41EB2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uiPriority w:val="99"/>
    <w:rPr>
      <w:color w:val="0000FF" w:themeColor="hyperlink"/>
      <w:u w:val="single"/>
      <w14:textFill>
        <w14:solidFill>
          <w14:schemeClr w14:val="hlink"/>
        </w14:solidFill>
      </w14:textFill>
    </w:r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lang w:val="id-ID" w:eastAsia="id-ID"/>
    </w:rPr>
  </w:style>
  <w:style w:type="table" w:styleId="6">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link w:val="8"/>
    <w:qFormat/>
    <w:uiPriority w:val="34"/>
    <w:pPr>
      <w:ind w:left="720"/>
      <w:contextualSpacing/>
    </w:pPr>
    <w:rPr>
      <w:rFonts w:asciiTheme="minorHAnsi" w:hAnsiTheme="minorHAnsi" w:eastAsiaTheme="minorHAnsi" w:cstheme="minorBidi"/>
    </w:rPr>
  </w:style>
  <w:style w:type="character" w:customStyle="1" w:styleId="8">
    <w:name w:val="List Paragraph Char"/>
    <w:link w:val="7"/>
    <w:qFormat/>
    <w:locked/>
    <w:uiPriority w:val="34"/>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29E58-7D91-4510-AF1C-0E831DB1D988}">
  <ds:schemaRefs/>
</ds:datastoreItem>
</file>

<file path=docProps/app.xml><?xml version="1.0" encoding="utf-8"?>
<Properties xmlns="http://schemas.openxmlformats.org/officeDocument/2006/extended-properties" xmlns:vt="http://schemas.openxmlformats.org/officeDocument/2006/docPropsVTypes">
  <Template>Normal</Template>
  <Pages>2</Pages>
  <Words>1802</Words>
  <Characters>10275</Characters>
  <Lines>85</Lines>
  <Paragraphs>24</Paragraphs>
  <TotalTime>67</TotalTime>
  <ScaleCrop>false</ScaleCrop>
  <LinksUpToDate>false</LinksUpToDate>
  <CharactersWithSpaces>12053</CharactersWithSpaces>
  <Application>WPS Office_11.2.0.11191_F1E327BC-269C-435d-A152-05C5408002CA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2022-08-02T12:41:00Z</dcterms:created>
  <dc:creator>User</dc:creator>
  <cp:lastModifiedBy>Lorensia Nesta pristama</cp:lastModifiedBy>
  <dcterms:modified xsi:type="dcterms:W3CDTF">2022-08-02T16:05:46Z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8b787a45-9650-3095-8af9-6d68c121fbb6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1033-11.2.0.11191</vt:lpwstr>
  </property>
  <property fmtid="{D5CDD505-2E9C-101B-9397-08002B2CF9AE}" pid="26" name="ICV">
    <vt:lpwstr>0DBD8C5F82EA48E68EC5419FBF0C2C5A</vt:lpwstr>
  </property>
</Properties>
</file>