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352" w:rsidRPr="007D7E3F" w:rsidRDefault="00543AD2" w:rsidP="007D7E3F">
      <w:pPr>
        <w:spacing w:after="0" w:line="240" w:lineRule="auto"/>
        <w:jc w:val="center"/>
        <w:rPr>
          <w:b/>
          <w:sz w:val="24"/>
          <w:szCs w:val="24"/>
        </w:rPr>
      </w:pPr>
      <w:bookmarkStart w:id="0" w:name="_GoBack"/>
      <w:bookmarkEnd w:id="0"/>
      <w:r w:rsidRPr="007D7E3F">
        <w:rPr>
          <w:b/>
          <w:sz w:val="24"/>
          <w:szCs w:val="24"/>
        </w:rPr>
        <w:t>PENGARUH UPAH MINIMUM PROVINSI TINGKAT PERTUMBUHAN EKONOMI DAN INFLASI TERHADAP PENGANGGURAN PADA PROVINSI DI PULAU SUMATERA</w:t>
      </w:r>
    </w:p>
    <w:p w:rsidR="00543AD2" w:rsidRPr="007D7E3F" w:rsidRDefault="00543AD2" w:rsidP="00543AD2">
      <w:pPr>
        <w:spacing w:after="0" w:line="240" w:lineRule="auto"/>
        <w:jc w:val="center"/>
        <w:rPr>
          <w:b/>
        </w:rPr>
      </w:pPr>
      <w:r w:rsidRPr="007D7E3F">
        <w:rPr>
          <w:b/>
        </w:rPr>
        <w:t>Danny Satria</w:t>
      </w:r>
      <w:r w:rsidRPr="007D7E3F">
        <w:rPr>
          <w:b/>
          <w:vertAlign w:val="superscript"/>
        </w:rPr>
        <w:t>1</w:t>
      </w:r>
      <w:r w:rsidRPr="007D7E3F">
        <w:rPr>
          <w:b/>
        </w:rPr>
        <w:t>, Nurul Huda</w:t>
      </w:r>
      <w:r w:rsidRPr="007D7E3F">
        <w:rPr>
          <w:b/>
          <w:vertAlign w:val="superscript"/>
        </w:rPr>
        <w:t>2</w:t>
      </w:r>
    </w:p>
    <w:p w:rsidR="00543AD2" w:rsidRPr="007D7E3F" w:rsidRDefault="00543AD2" w:rsidP="00543AD2">
      <w:pPr>
        <w:spacing w:after="0" w:line="240" w:lineRule="auto"/>
        <w:jc w:val="center"/>
        <w:rPr>
          <w:b/>
        </w:rPr>
      </w:pPr>
      <w:r w:rsidRPr="007D7E3F">
        <w:rPr>
          <w:b/>
        </w:rPr>
        <w:t>Prodi Ekonomi Pembangunan, fakultas Ekonomi dan Bisnis, Universitas Bung Hatta</w:t>
      </w:r>
    </w:p>
    <w:p w:rsidR="00543AD2" w:rsidRPr="007D7E3F" w:rsidRDefault="00543AD2" w:rsidP="00543AD2">
      <w:pPr>
        <w:spacing w:after="0" w:line="240" w:lineRule="auto"/>
        <w:jc w:val="center"/>
        <w:rPr>
          <w:b/>
        </w:rPr>
      </w:pPr>
    </w:p>
    <w:p w:rsidR="00543AD2" w:rsidRPr="007D7E3F" w:rsidRDefault="00543AD2" w:rsidP="00543AD2">
      <w:pPr>
        <w:jc w:val="center"/>
        <w:rPr>
          <w:b/>
        </w:rPr>
      </w:pPr>
      <w:r w:rsidRPr="007D7E3F">
        <w:rPr>
          <w:b/>
        </w:rPr>
        <w:t xml:space="preserve">Email : </w:t>
      </w:r>
      <w:hyperlink r:id="rId6" w:history="1">
        <w:r w:rsidRPr="00917199">
          <w:rPr>
            <w:rStyle w:val="Hyperlink"/>
            <w:b/>
            <w:color w:val="000000" w:themeColor="text1"/>
          </w:rPr>
          <w:t>dannysatria020@gamil.com</w:t>
        </w:r>
      </w:hyperlink>
      <w:r w:rsidRPr="00917199">
        <w:rPr>
          <w:b/>
          <w:color w:val="000000" w:themeColor="text1"/>
        </w:rPr>
        <w:t xml:space="preserve">, </w:t>
      </w:r>
      <w:hyperlink r:id="rId7" w:history="1">
        <w:r w:rsidRPr="00917199">
          <w:rPr>
            <w:rStyle w:val="Hyperlink"/>
            <w:b/>
            <w:color w:val="000000" w:themeColor="text1"/>
          </w:rPr>
          <w:t>nurulhuda144@yahoo.com</w:t>
        </w:r>
      </w:hyperlink>
    </w:p>
    <w:p w:rsidR="00CD2012" w:rsidRDefault="00CD2012" w:rsidP="008241F1">
      <w:pPr>
        <w:tabs>
          <w:tab w:val="left" w:pos="1755"/>
        </w:tabs>
        <w:spacing w:after="0"/>
        <w:jc w:val="both"/>
        <w:rPr>
          <w:b/>
        </w:rPr>
        <w:sectPr w:rsidR="00CD2012">
          <w:pgSz w:w="11906" w:h="16838"/>
          <w:pgMar w:top="1440" w:right="1440" w:bottom="1440" w:left="1440" w:header="708" w:footer="708" w:gutter="0"/>
          <w:cols w:space="708"/>
          <w:docGrid w:linePitch="360"/>
        </w:sectPr>
      </w:pPr>
    </w:p>
    <w:p w:rsidR="00BC1939" w:rsidRPr="007D7E3F" w:rsidRDefault="00BC1939" w:rsidP="008241F1">
      <w:pPr>
        <w:tabs>
          <w:tab w:val="left" w:pos="1755"/>
        </w:tabs>
        <w:spacing w:after="0"/>
        <w:jc w:val="both"/>
        <w:rPr>
          <w:b/>
        </w:rPr>
      </w:pPr>
      <w:r w:rsidRPr="007D7E3F">
        <w:rPr>
          <w:b/>
        </w:rPr>
        <w:lastRenderedPageBreak/>
        <w:t>PENDAHULUAN</w:t>
      </w:r>
    </w:p>
    <w:p w:rsidR="008241F1" w:rsidRDefault="00BC1939" w:rsidP="008241F1">
      <w:pPr>
        <w:tabs>
          <w:tab w:val="left" w:pos="1755"/>
        </w:tabs>
        <w:spacing w:after="0" w:line="240" w:lineRule="auto"/>
        <w:jc w:val="both"/>
      </w:pPr>
      <w:r>
        <w:t>Pembangunan nasional di indonesia tidak dapat dilepaskan dari pembanguanan daerah, karena wilayah indonesia terdiri at</w:t>
      </w:r>
      <w:r w:rsidR="00CD2012">
        <w:t>as provinsi-provinsi, kabupaten</w:t>
      </w:r>
      <w:r>
        <w:t xml:space="preserve">/kota serta daerah-daerah yang lebih kecil. </w:t>
      </w:r>
      <w:r w:rsidRPr="00BC1939">
        <w:t>Kegiatan pembangunan yang direncanakan dan dilakukan haruslah mampu menyentuh dan dirasakan hingga masyarakat kecil. Pembangunan memiliki definisi yang luas yaitu proses multi dimensi yang mencakup adanya perubahan-perubahan yang penting di dalam ekslarasi pertumbuhan ekonomi, struktur sosial, kesenjangan, pengganguran dan penanganan kemiskinan.</w:t>
      </w:r>
      <w:r w:rsidR="008241F1">
        <w:t xml:space="preserve"> </w:t>
      </w:r>
      <w:r w:rsidR="003E1944">
        <w:t xml:space="preserve">   </w:t>
      </w:r>
      <w:r w:rsidRPr="00BC1939">
        <w:t>Indonesia adalah Negara berkembang yang merupakan satu dari banyak negara yang memiliki masalah mengenai tenaga kerja. Masalah yang dimaksud adalah masalah mengenai tingginya jumlah pengangguran, dimana diketahui pengganguran merupakan masalah yang  menghambat proses pembangunan. Masalah ketenagakerjaan adalah masalah yang sangat luas dan kompleks. Masalah pengangguran muncul sebagai imbas dari jumlah tenaga kerja yang tidak seimbang dengan jumlah permintaan lapangan pekerjaan yang tersedia. Penganguran yang jumlahnya bertambah terus menerus tentunya akan menambah beban perekonomian daerah dan mengurangi kesejahteraan rakyat.</w:t>
      </w:r>
      <w:r w:rsidR="008241F1">
        <w:t xml:space="preserve"> </w:t>
      </w:r>
      <w:r w:rsidRPr="00BC1939">
        <w:t>Faktor tenaga kerja sebagai bagian dari sumber daya manusia (SDM) pada masa pembangunan nasional termasuk yang teramat penting bagi keberhasilan terselenggaranya pembangun nasional di Indonesia. Pemanfaatan jumlah angkatan kerja tentu akan mampu mempercepat pembangunan dan pertumbuhan nasional. Secara tradisional pertumbuhan penduduk dan angkatan kerja dianggap sebagai salah satu faktor yang berpengaruh positif dalam memacu pembangunan nasional dan pertumbuhan ekonomi</w:t>
      </w:r>
      <w:r>
        <w:t>.</w:t>
      </w:r>
    </w:p>
    <w:p w:rsidR="008241F1" w:rsidRPr="007D7E3F" w:rsidRDefault="008241F1" w:rsidP="008241F1">
      <w:pPr>
        <w:tabs>
          <w:tab w:val="left" w:pos="1755"/>
        </w:tabs>
        <w:spacing w:after="0"/>
        <w:jc w:val="both"/>
        <w:rPr>
          <w:b/>
        </w:rPr>
      </w:pPr>
      <w:r w:rsidRPr="007D7E3F">
        <w:rPr>
          <w:b/>
        </w:rPr>
        <w:lastRenderedPageBreak/>
        <w:t>METODE</w:t>
      </w:r>
    </w:p>
    <w:p w:rsidR="008241F1" w:rsidRDefault="008241F1" w:rsidP="008241F1">
      <w:pPr>
        <w:tabs>
          <w:tab w:val="left" w:pos="1755"/>
        </w:tabs>
        <w:spacing w:after="0"/>
        <w:jc w:val="both"/>
      </w:pPr>
      <w:r w:rsidRPr="008241F1">
        <w:t>Metode penelitian merupakan suatu cara atau prosedur mengenai bagaimana kegiatan penelitian yang akan dilakukan untuk mengumpulkan dan memahami objek-objek menjadi sasaran atau penelitian. Penelitian ini merupakan studi empiris terhadap analisis upah minimum, pertumuhan ekonomi, dan inflasi terhadap pengangguran di pulau sumatera</w:t>
      </w:r>
      <w:r>
        <w:t>.</w:t>
      </w:r>
      <w:r w:rsidR="00415E52" w:rsidRPr="00415E52">
        <w:t xml:space="preserve"> Jenis data dalam pengolahan data akan dianalisis dalam penelitian ini adalah data skunder dengan tipe data panel. Dimana data skunder ini bersumber dari lembaga atau institusi yang terkait seperti Badan Pusat Statistik (BPS), Selain itu diperoleh dari berbagai referensi, literatur, dan jurnal-jurnal yang berkaitan dengan penelitian. Dan penelitian ini menggunakan data time series selama 10 tahun, yakni dari tahun 2011 sampai dengan tahun 2020, sedangkan data cross section dalam penelitian ini adalah 10 daerah</w:t>
      </w:r>
      <w:r w:rsidR="00415E52">
        <w:t>.</w:t>
      </w:r>
      <w:r w:rsidR="00C52338" w:rsidRPr="00C52338">
        <w:t xml:space="preserve"> Untuk menjawab permasalahan di atas, maka metode analisis yang digunakan adalah regresi data panel, yang ditunjang dengan data kuantitatif yang ada. Data diolah dengan menggunakan eviews 9. Teknik analisis data panel dalam penelitian ini dapat dilakukan dengan metode common effect, fixed effect dan random effect, sedangkan untuk menentukan metode mana yang lebih sesuai dengan penelitian ini maka digunakan Uji Chow dan Uji Hausman</w:t>
      </w:r>
      <w:r w:rsidR="00C52338">
        <w:t>.</w:t>
      </w:r>
    </w:p>
    <w:p w:rsidR="00C52338" w:rsidRDefault="00C52338" w:rsidP="008241F1">
      <w:pPr>
        <w:tabs>
          <w:tab w:val="left" w:pos="1755"/>
        </w:tabs>
        <w:spacing w:after="0"/>
        <w:jc w:val="both"/>
      </w:pPr>
    </w:p>
    <w:p w:rsidR="00C52338" w:rsidRPr="007D7E3F" w:rsidRDefault="00C52338" w:rsidP="008241F1">
      <w:pPr>
        <w:tabs>
          <w:tab w:val="left" w:pos="1755"/>
        </w:tabs>
        <w:spacing w:after="0"/>
        <w:jc w:val="both"/>
        <w:rPr>
          <w:b/>
        </w:rPr>
      </w:pPr>
      <w:r w:rsidRPr="007D7E3F">
        <w:rPr>
          <w:b/>
        </w:rPr>
        <w:t>HASIL DAN PEMBAHASAN</w:t>
      </w:r>
    </w:p>
    <w:p w:rsidR="00C52338" w:rsidRDefault="00C52338" w:rsidP="008241F1">
      <w:pPr>
        <w:tabs>
          <w:tab w:val="left" w:pos="1755"/>
        </w:tabs>
        <w:spacing w:after="0"/>
        <w:jc w:val="both"/>
      </w:pPr>
      <w:r w:rsidRPr="00C52338">
        <w:t xml:space="preserve">Penelitian ini bertujuan untuk mengetahui pengaruh upah minimum provinsi (UMP), tingkat pertumbuhan ekonomi dan inflasi terhadap pengangguran pada sepuluh provinsi di Pulau Sumatera. Data yang </w:t>
      </w:r>
      <w:r w:rsidRPr="00C52338">
        <w:lastRenderedPageBreak/>
        <w:t>digunakan dari tahun 2011 sampai dengan 2020 yang lalu. Dalam rangka menjawab pernyataan tersebut maka dilakukan analisis regresi data panel</w:t>
      </w:r>
      <w:r>
        <w:t xml:space="preserve">. </w:t>
      </w:r>
      <w:r w:rsidRPr="00C52338">
        <w:t>Setelah dilakukan pengujian persyaratan pemilihan model regresi panel, diketahui efek yang terpilih adalah random effect model. Berdasarkan hasil pengolahan data yang telah dilakukan diperoleh ringkas</w:t>
      </w:r>
      <w:r>
        <w:t>an hasil terlihat pada Tab</w:t>
      </w:r>
      <w:r w:rsidR="0038204A">
        <w:t xml:space="preserve">el </w:t>
      </w:r>
      <w:r w:rsidRPr="00C52338">
        <w:t>1 di bawah ini:</w:t>
      </w:r>
    </w:p>
    <w:p w:rsidR="003C76BF" w:rsidRPr="00876C3B" w:rsidRDefault="003C76BF" w:rsidP="003C76BF">
      <w:pPr>
        <w:tabs>
          <w:tab w:val="left" w:pos="1755"/>
        </w:tabs>
        <w:spacing w:after="0"/>
        <w:jc w:val="center"/>
        <w:rPr>
          <w:b/>
        </w:rPr>
      </w:pPr>
      <w:r w:rsidRPr="00876C3B">
        <w:rPr>
          <w:b/>
        </w:rPr>
        <w:t>Tabel 1 Hasil Pengujian Hipotesis</w:t>
      </w:r>
    </w:p>
    <w:tbl>
      <w:tblPr>
        <w:tblW w:w="0" w:type="auto"/>
        <w:jc w:val="center"/>
        <w:tblInd w:w="30" w:type="dxa"/>
        <w:tblLayout w:type="fixed"/>
        <w:tblCellMar>
          <w:left w:w="0" w:type="dxa"/>
          <w:right w:w="0" w:type="dxa"/>
        </w:tblCellMar>
        <w:tblLook w:val="0000" w:firstRow="0" w:lastRow="0" w:firstColumn="0" w:lastColumn="0" w:noHBand="0" w:noVBand="0"/>
      </w:tblPr>
      <w:tblGrid>
        <w:gridCol w:w="1569"/>
        <w:gridCol w:w="992"/>
        <w:gridCol w:w="992"/>
        <w:gridCol w:w="993"/>
        <w:gridCol w:w="992"/>
      </w:tblGrid>
      <w:tr w:rsidR="003C76BF" w:rsidRPr="003C76BF" w:rsidTr="001F6205">
        <w:trPr>
          <w:trHeight w:val="204"/>
          <w:jc w:val="center"/>
        </w:trPr>
        <w:tc>
          <w:tcPr>
            <w:tcW w:w="1569"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jc w:val="center"/>
              <w:rPr>
                <w:rFonts w:ascii="Arial" w:eastAsia="Calibri" w:hAnsi="Arial" w:cs="Arial"/>
                <w:b/>
                <w:color w:val="000000"/>
                <w:sz w:val="16"/>
                <w:szCs w:val="16"/>
              </w:rPr>
            </w:pPr>
            <w:r w:rsidRPr="003C76BF">
              <w:rPr>
                <w:rFonts w:ascii="Arial" w:eastAsia="Calibri" w:hAnsi="Arial" w:cs="Arial"/>
                <w:b/>
                <w:color w:val="000000"/>
                <w:sz w:val="16"/>
                <w:szCs w:val="16"/>
              </w:rPr>
              <w:t>Variable</w:t>
            </w:r>
          </w:p>
        </w:tc>
        <w:tc>
          <w:tcPr>
            <w:tcW w:w="992"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ind w:right="20"/>
              <w:jc w:val="center"/>
              <w:rPr>
                <w:rFonts w:ascii="Arial" w:eastAsia="Calibri" w:hAnsi="Arial" w:cs="Arial"/>
                <w:b/>
                <w:color w:val="000000"/>
                <w:sz w:val="16"/>
                <w:szCs w:val="16"/>
              </w:rPr>
            </w:pPr>
            <w:r w:rsidRPr="003C76BF">
              <w:rPr>
                <w:rFonts w:ascii="Arial" w:eastAsia="Calibri" w:hAnsi="Arial" w:cs="Arial"/>
                <w:b/>
                <w:color w:val="000000"/>
                <w:sz w:val="16"/>
                <w:szCs w:val="16"/>
              </w:rPr>
              <w:t>Coefficient</w:t>
            </w:r>
          </w:p>
        </w:tc>
        <w:tc>
          <w:tcPr>
            <w:tcW w:w="992"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ind w:right="20"/>
              <w:jc w:val="center"/>
              <w:rPr>
                <w:rFonts w:ascii="Arial" w:eastAsia="Calibri" w:hAnsi="Arial" w:cs="Arial"/>
                <w:b/>
                <w:color w:val="000000"/>
                <w:sz w:val="16"/>
                <w:szCs w:val="16"/>
              </w:rPr>
            </w:pPr>
            <w:r w:rsidRPr="003C76BF">
              <w:rPr>
                <w:rFonts w:ascii="Arial" w:eastAsia="Calibri" w:hAnsi="Arial" w:cs="Arial"/>
                <w:b/>
                <w:color w:val="000000"/>
                <w:sz w:val="16"/>
                <w:szCs w:val="16"/>
              </w:rPr>
              <w:t>Std. Error</w:t>
            </w:r>
          </w:p>
        </w:tc>
        <w:tc>
          <w:tcPr>
            <w:tcW w:w="993"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ind w:right="20"/>
              <w:jc w:val="center"/>
              <w:rPr>
                <w:rFonts w:ascii="Arial" w:eastAsia="Calibri" w:hAnsi="Arial" w:cs="Arial"/>
                <w:b/>
                <w:color w:val="000000"/>
                <w:sz w:val="16"/>
                <w:szCs w:val="16"/>
              </w:rPr>
            </w:pPr>
            <w:r w:rsidRPr="003C76BF">
              <w:rPr>
                <w:rFonts w:ascii="Arial" w:eastAsia="Calibri" w:hAnsi="Arial" w:cs="Arial"/>
                <w:b/>
                <w:color w:val="000000"/>
                <w:sz w:val="16"/>
                <w:szCs w:val="16"/>
              </w:rPr>
              <w:t>t-Statistic</w:t>
            </w:r>
          </w:p>
        </w:tc>
        <w:tc>
          <w:tcPr>
            <w:tcW w:w="992"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ind w:right="20"/>
              <w:jc w:val="center"/>
              <w:rPr>
                <w:rFonts w:ascii="Arial" w:eastAsia="Calibri" w:hAnsi="Arial" w:cs="Arial"/>
                <w:b/>
                <w:color w:val="000000"/>
                <w:sz w:val="16"/>
                <w:szCs w:val="16"/>
              </w:rPr>
            </w:pPr>
            <w:r w:rsidRPr="003C76BF">
              <w:rPr>
                <w:rFonts w:ascii="Arial" w:eastAsia="Calibri" w:hAnsi="Arial" w:cs="Arial"/>
                <w:b/>
                <w:color w:val="000000"/>
                <w:sz w:val="16"/>
                <w:szCs w:val="16"/>
              </w:rPr>
              <w:t>Prob.</w:t>
            </w:r>
          </w:p>
        </w:tc>
      </w:tr>
      <w:tr w:rsidR="003C76BF" w:rsidRPr="003C76BF" w:rsidTr="001F6205">
        <w:trPr>
          <w:trHeight w:hRule="exact" w:val="81"/>
          <w:jc w:val="center"/>
        </w:trPr>
        <w:tc>
          <w:tcPr>
            <w:tcW w:w="1569" w:type="dxa"/>
            <w:tcBorders>
              <w:top w:val="nil"/>
              <w:left w:val="nil"/>
              <w:bottom w:val="double" w:sz="6" w:space="2" w:color="auto"/>
              <w:right w:val="nil"/>
            </w:tcBorders>
            <w:vAlign w:val="bottom"/>
          </w:tcPr>
          <w:p w:rsidR="003C76BF" w:rsidRPr="003C76BF" w:rsidRDefault="003C76BF" w:rsidP="003C76BF">
            <w:pPr>
              <w:autoSpaceDE w:val="0"/>
              <w:autoSpaceDN w:val="0"/>
              <w:adjustRightInd w:val="0"/>
              <w:spacing w:after="0" w:line="240" w:lineRule="auto"/>
              <w:jc w:val="center"/>
              <w:rPr>
                <w:rFonts w:ascii="Arial" w:eastAsia="Calibri" w:hAnsi="Arial" w:cs="Arial"/>
                <w:color w:val="000000"/>
                <w:sz w:val="16"/>
                <w:szCs w:val="16"/>
              </w:rPr>
            </w:pPr>
          </w:p>
        </w:tc>
        <w:tc>
          <w:tcPr>
            <w:tcW w:w="992" w:type="dxa"/>
            <w:tcBorders>
              <w:top w:val="nil"/>
              <w:left w:val="nil"/>
              <w:bottom w:val="double" w:sz="6" w:space="2" w:color="auto"/>
              <w:right w:val="nil"/>
            </w:tcBorders>
            <w:vAlign w:val="bottom"/>
          </w:tcPr>
          <w:p w:rsidR="003C76BF" w:rsidRPr="003C76BF" w:rsidRDefault="003C76BF" w:rsidP="003C76BF">
            <w:pPr>
              <w:autoSpaceDE w:val="0"/>
              <w:autoSpaceDN w:val="0"/>
              <w:adjustRightInd w:val="0"/>
              <w:spacing w:after="0" w:line="240" w:lineRule="auto"/>
              <w:jc w:val="center"/>
              <w:rPr>
                <w:rFonts w:ascii="Arial" w:eastAsia="Calibri" w:hAnsi="Arial" w:cs="Arial"/>
                <w:color w:val="000000"/>
                <w:sz w:val="16"/>
                <w:szCs w:val="16"/>
              </w:rPr>
            </w:pPr>
          </w:p>
        </w:tc>
        <w:tc>
          <w:tcPr>
            <w:tcW w:w="992" w:type="dxa"/>
            <w:tcBorders>
              <w:top w:val="nil"/>
              <w:left w:val="nil"/>
              <w:bottom w:val="double" w:sz="6" w:space="2" w:color="auto"/>
              <w:right w:val="nil"/>
            </w:tcBorders>
            <w:vAlign w:val="bottom"/>
          </w:tcPr>
          <w:p w:rsidR="003C76BF" w:rsidRPr="003C76BF" w:rsidRDefault="003C76BF" w:rsidP="003C76BF">
            <w:pPr>
              <w:autoSpaceDE w:val="0"/>
              <w:autoSpaceDN w:val="0"/>
              <w:adjustRightInd w:val="0"/>
              <w:spacing w:after="0" w:line="240" w:lineRule="auto"/>
              <w:jc w:val="center"/>
              <w:rPr>
                <w:rFonts w:ascii="Arial" w:eastAsia="Calibri" w:hAnsi="Arial" w:cs="Arial"/>
                <w:color w:val="000000"/>
                <w:sz w:val="16"/>
                <w:szCs w:val="16"/>
              </w:rPr>
            </w:pPr>
          </w:p>
        </w:tc>
        <w:tc>
          <w:tcPr>
            <w:tcW w:w="993" w:type="dxa"/>
            <w:tcBorders>
              <w:top w:val="nil"/>
              <w:left w:val="nil"/>
              <w:bottom w:val="double" w:sz="6" w:space="2" w:color="auto"/>
              <w:right w:val="nil"/>
            </w:tcBorders>
            <w:vAlign w:val="bottom"/>
          </w:tcPr>
          <w:p w:rsidR="003C76BF" w:rsidRPr="003C76BF" w:rsidRDefault="003C76BF" w:rsidP="003C76BF">
            <w:pPr>
              <w:autoSpaceDE w:val="0"/>
              <w:autoSpaceDN w:val="0"/>
              <w:adjustRightInd w:val="0"/>
              <w:spacing w:after="0" w:line="240" w:lineRule="auto"/>
              <w:jc w:val="center"/>
              <w:rPr>
                <w:rFonts w:ascii="Arial" w:eastAsia="Calibri" w:hAnsi="Arial" w:cs="Arial"/>
                <w:color w:val="000000"/>
                <w:sz w:val="16"/>
                <w:szCs w:val="16"/>
              </w:rPr>
            </w:pPr>
          </w:p>
        </w:tc>
        <w:tc>
          <w:tcPr>
            <w:tcW w:w="992" w:type="dxa"/>
            <w:tcBorders>
              <w:top w:val="nil"/>
              <w:left w:val="nil"/>
              <w:bottom w:val="double" w:sz="6" w:space="2" w:color="auto"/>
              <w:right w:val="nil"/>
            </w:tcBorders>
            <w:vAlign w:val="bottom"/>
          </w:tcPr>
          <w:p w:rsidR="003C76BF" w:rsidRPr="003C76BF" w:rsidRDefault="003C76BF" w:rsidP="003C76BF">
            <w:pPr>
              <w:autoSpaceDE w:val="0"/>
              <w:autoSpaceDN w:val="0"/>
              <w:adjustRightInd w:val="0"/>
              <w:spacing w:after="0" w:line="240" w:lineRule="auto"/>
              <w:jc w:val="center"/>
              <w:rPr>
                <w:rFonts w:ascii="Arial" w:eastAsia="Calibri" w:hAnsi="Arial" w:cs="Arial"/>
                <w:color w:val="000000"/>
                <w:sz w:val="16"/>
                <w:szCs w:val="16"/>
              </w:rPr>
            </w:pPr>
          </w:p>
        </w:tc>
      </w:tr>
      <w:tr w:rsidR="003C76BF" w:rsidRPr="003C76BF" w:rsidTr="001F6205">
        <w:trPr>
          <w:trHeight w:hRule="exact" w:val="122"/>
          <w:jc w:val="center"/>
        </w:trPr>
        <w:tc>
          <w:tcPr>
            <w:tcW w:w="1569"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jc w:val="center"/>
              <w:rPr>
                <w:rFonts w:ascii="Arial" w:eastAsia="Calibri" w:hAnsi="Arial" w:cs="Arial"/>
                <w:color w:val="000000"/>
                <w:sz w:val="16"/>
                <w:szCs w:val="16"/>
              </w:rPr>
            </w:pPr>
          </w:p>
        </w:tc>
        <w:tc>
          <w:tcPr>
            <w:tcW w:w="992"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jc w:val="center"/>
              <w:rPr>
                <w:rFonts w:ascii="Arial" w:eastAsia="Calibri" w:hAnsi="Arial" w:cs="Arial"/>
                <w:color w:val="000000"/>
                <w:sz w:val="16"/>
                <w:szCs w:val="16"/>
              </w:rPr>
            </w:pPr>
          </w:p>
        </w:tc>
        <w:tc>
          <w:tcPr>
            <w:tcW w:w="992"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jc w:val="center"/>
              <w:rPr>
                <w:rFonts w:ascii="Arial" w:eastAsia="Calibri" w:hAnsi="Arial" w:cs="Arial"/>
                <w:color w:val="000000"/>
                <w:sz w:val="16"/>
                <w:szCs w:val="16"/>
              </w:rPr>
            </w:pPr>
          </w:p>
        </w:tc>
        <w:tc>
          <w:tcPr>
            <w:tcW w:w="993"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jc w:val="center"/>
              <w:rPr>
                <w:rFonts w:ascii="Arial" w:eastAsia="Calibri" w:hAnsi="Arial" w:cs="Arial"/>
                <w:color w:val="000000"/>
                <w:sz w:val="16"/>
                <w:szCs w:val="16"/>
              </w:rPr>
            </w:pPr>
          </w:p>
        </w:tc>
        <w:tc>
          <w:tcPr>
            <w:tcW w:w="992"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jc w:val="center"/>
              <w:rPr>
                <w:rFonts w:ascii="Arial" w:eastAsia="Calibri" w:hAnsi="Arial" w:cs="Arial"/>
                <w:color w:val="000000"/>
                <w:sz w:val="16"/>
                <w:szCs w:val="16"/>
              </w:rPr>
            </w:pPr>
          </w:p>
        </w:tc>
      </w:tr>
      <w:tr w:rsidR="003C76BF" w:rsidRPr="003C76BF" w:rsidTr="001F6205">
        <w:trPr>
          <w:trHeight w:val="80"/>
          <w:jc w:val="center"/>
        </w:trPr>
        <w:tc>
          <w:tcPr>
            <w:tcW w:w="1569"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jc w:val="center"/>
              <w:rPr>
                <w:rFonts w:ascii="Arial" w:eastAsia="Calibri" w:hAnsi="Arial" w:cs="Arial"/>
                <w:color w:val="000000"/>
                <w:sz w:val="16"/>
                <w:szCs w:val="16"/>
              </w:rPr>
            </w:pPr>
            <w:r w:rsidRPr="003C76BF">
              <w:rPr>
                <w:rFonts w:ascii="Arial" w:eastAsia="Calibri" w:hAnsi="Arial" w:cs="Arial"/>
                <w:color w:val="000000"/>
                <w:sz w:val="16"/>
                <w:szCs w:val="16"/>
              </w:rPr>
              <w:t>C</w:t>
            </w:r>
          </w:p>
        </w:tc>
        <w:tc>
          <w:tcPr>
            <w:tcW w:w="992"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ind w:right="20"/>
              <w:jc w:val="right"/>
              <w:rPr>
                <w:rFonts w:ascii="Arial" w:eastAsia="Calibri" w:hAnsi="Arial" w:cs="Arial"/>
                <w:color w:val="000000"/>
                <w:sz w:val="16"/>
                <w:szCs w:val="16"/>
              </w:rPr>
            </w:pPr>
            <w:r w:rsidRPr="003C76BF">
              <w:rPr>
                <w:rFonts w:ascii="Arial" w:eastAsia="Calibri" w:hAnsi="Arial" w:cs="Arial"/>
                <w:color w:val="000000"/>
                <w:sz w:val="16"/>
                <w:szCs w:val="16"/>
              </w:rPr>
              <w:t>2.549239</w:t>
            </w:r>
          </w:p>
        </w:tc>
        <w:tc>
          <w:tcPr>
            <w:tcW w:w="992"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ind w:right="20"/>
              <w:jc w:val="right"/>
              <w:rPr>
                <w:rFonts w:ascii="Arial" w:eastAsia="Calibri" w:hAnsi="Arial" w:cs="Arial"/>
                <w:color w:val="000000"/>
                <w:sz w:val="16"/>
                <w:szCs w:val="16"/>
              </w:rPr>
            </w:pPr>
            <w:r w:rsidRPr="003C76BF">
              <w:rPr>
                <w:rFonts w:ascii="Arial" w:eastAsia="Calibri" w:hAnsi="Arial" w:cs="Arial"/>
                <w:color w:val="000000"/>
                <w:sz w:val="16"/>
                <w:szCs w:val="16"/>
              </w:rPr>
              <w:t>3.017111</w:t>
            </w:r>
          </w:p>
        </w:tc>
        <w:tc>
          <w:tcPr>
            <w:tcW w:w="993"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ind w:right="20"/>
              <w:jc w:val="right"/>
              <w:rPr>
                <w:rFonts w:ascii="Arial" w:eastAsia="Calibri" w:hAnsi="Arial" w:cs="Arial"/>
                <w:color w:val="000000"/>
                <w:sz w:val="16"/>
                <w:szCs w:val="16"/>
              </w:rPr>
            </w:pPr>
            <w:r w:rsidRPr="003C76BF">
              <w:rPr>
                <w:rFonts w:ascii="Arial" w:eastAsia="Calibri" w:hAnsi="Arial" w:cs="Arial"/>
                <w:color w:val="000000"/>
                <w:sz w:val="16"/>
                <w:szCs w:val="16"/>
              </w:rPr>
              <w:t>0.844927</w:t>
            </w:r>
          </w:p>
        </w:tc>
        <w:tc>
          <w:tcPr>
            <w:tcW w:w="992"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ind w:right="20"/>
              <w:jc w:val="right"/>
              <w:rPr>
                <w:rFonts w:ascii="Arial" w:eastAsia="Calibri" w:hAnsi="Arial" w:cs="Arial"/>
                <w:color w:val="000000"/>
                <w:sz w:val="16"/>
                <w:szCs w:val="16"/>
              </w:rPr>
            </w:pPr>
            <w:r w:rsidRPr="003C76BF">
              <w:rPr>
                <w:rFonts w:ascii="Arial" w:eastAsia="Calibri" w:hAnsi="Arial" w:cs="Arial"/>
                <w:color w:val="000000"/>
                <w:sz w:val="16"/>
                <w:szCs w:val="16"/>
              </w:rPr>
              <w:t>0.4005</w:t>
            </w:r>
          </w:p>
        </w:tc>
      </w:tr>
      <w:tr w:rsidR="003C76BF" w:rsidRPr="003C76BF" w:rsidTr="001F6205">
        <w:trPr>
          <w:trHeight w:val="204"/>
          <w:jc w:val="center"/>
        </w:trPr>
        <w:tc>
          <w:tcPr>
            <w:tcW w:w="1569"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jc w:val="center"/>
              <w:rPr>
                <w:rFonts w:ascii="Arial" w:eastAsia="Calibri" w:hAnsi="Arial" w:cs="Arial"/>
                <w:color w:val="000000"/>
                <w:sz w:val="16"/>
                <w:szCs w:val="16"/>
              </w:rPr>
            </w:pPr>
            <w:r w:rsidRPr="003C76BF">
              <w:rPr>
                <w:rFonts w:ascii="Arial" w:eastAsia="Calibri" w:hAnsi="Arial" w:cs="Arial"/>
                <w:color w:val="000000"/>
                <w:sz w:val="16"/>
                <w:szCs w:val="16"/>
              </w:rPr>
              <w:t>UMP</w:t>
            </w:r>
          </w:p>
        </w:tc>
        <w:tc>
          <w:tcPr>
            <w:tcW w:w="992"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ind w:right="20"/>
              <w:jc w:val="right"/>
              <w:rPr>
                <w:rFonts w:ascii="Arial" w:eastAsia="Calibri" w:hAnsi="Arial" w:cs="Arial"/>
                <w:color w:val="000000"/>
                <w:sz w:val="16"/>
                <w:szCs w:val="16"/>
              </w:rPr>
            </w:pPr>
            <w:r w:rsidRPr="003C76BF">
              <w:rPr>
                <w:rFonts w:ascii="Arial" w:eastAsia="Calibri" w:hAnsi="Arial" w:cs="Arial"/>
                <w:color w:val="000000"/>
                <w:sz w:val="16"/>
                <w:szCs w:val="16"/>
              </w:rPr>
              <w:t>0.988088</w:t>
            </w:r>
          </w:p>
        </w:tc>
        <w:tc>
          <w:tcPr>
            <w:tcW w:w="992"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ind w:right="20"/>
              <w:jc w:val="right"/>
              <w:rPr>
                <w:rFonts w:ascii="Arial" w:eastAsia="Calibri" w:hAnsi="Arial" w:cs="Arial"/>
                <w:color w:val="000000"/>
                <w:sz w:val="16"/>
                <w:szCs w:val="16"/>
              </w:rPr>
            </w:pPr>
            <w:r w:rsidRPr="003C76BF">
              <w:rPr>
                <w:rFonts w:ascii="Arial" w:eastAsia="Calibri" w:hAnsi="Arial" w:cs="Arial"/>
                <w:color w:val="000000"/>
                <w:sz w:val="16"/>
                <w:szCs w:val="16"/>
              </w:rPr>
              <w:t>0.475709</w:t>
            </w:r>
          </w:p>
        </w:tc>
        <w:tc>
          <w:tcPr>
            <w:tcW w:w="993"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ind w:right="20"/>
              <w:jc w:val="right"/>
              <w:rPr>
                <w:rFonts w:ascii="Arial" w:eastAsia="Calibri" w:hAnsi="Arial" w:cs="Arial"/>
                <w:color w:val="000000"/>
                <w:sz w:val="16"/>
                <w:szCs w:val="16"/>
              </w:rPr>
            </w:pPr>
            <w:r w:rsidRPr="003C76BF">
              <w:rPr>
                <w:rFonts w:ascii="Arial" w:eastAsia="Calibri" w:hAnsi="Arial" w:cs="Arial"/>
                <w:color w:val="000000"/>
                <w:sz w:val="16"/>
                <w:szCs w:val="16"/>
              </w:rPr>
              <w:t>2.077086</w:t>
            </w:r>
          </w:p>
        </w:tc>
        <w:tc>
          <w:tcPr>
            <w:tcW w:w="992"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ind w:right="20"/>
              <w:jc w:val="right"/>
              <w:rPr>
                <w:rFonts w:ascii="Arial" w:eastAsia="Calibri" w:hAnsi="Arial" w:cs="Arial"/>
                <w:color w:val="000000"/>
                <w:sz w:val="16"/>
                <w:szCs w:val="16"/>
              </w:rPr>
            </w:pPr>
            <w:r w:rsidRPr="003C76BF">
              <w:rPr>
                <w:rFonts w:ascii="Arial" w:eastAsia="Calibri" w:hAnsi="Arial" w:cs="Arial"/>
                <w:color w:val="000000"/>
                <w:sz w:val="16"/>
                <w:szCs w:val="16"/>
              </w:rPr>
              <w:t>0.0407</w:t>
            </w:r>
          </w:p>
        </w:tc>
      </w:tr>
      <w:tr w:rsidR="003C76BF" w:rsidRPr="003C76BF" w:rsidTr="001F6205">
        <w:trPr>
          <w:trHeight w:val="204"/>
          <w:jc w:val="center"/>
        </w:trPr>
        <w:tc>
          <w:tcPr>
            <w:tcW w:w="1569"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jc w:val="center"/>
              <w:rPr>
                <w:rFonts w:ascii="Arial" w:eastAsia="Calibri" w:hAnsi="Arial" w:cs="Arial"/>
                <w:color w:val="000000"/>
                <w:sz w:val="16"/>
                <w:szCs w:val="16"/>
              </w:rPr>
            </w:pPr>
            <w:r w:rsidRPr="003C76BF">
              <w:rPr>
                <w:rFonts w:ascii="Arial" w:eastAsia="Calibri" w:hAnsi="Arial" w:cs="Arial"/>
                <w:color w:val="000000"/>
                <w:sz w:val="16"/>
                <w:szCs w:val="16"/>
              </w:rPr>
              <w:t>PE</w:t>
            </w:r>
          </w:p>
        </w:tc>
        <w:tc>
          <w:tcPr>
            <w:tcW w:w="992"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ind w:right="20"/>
              <w:jc w:val="right"/>
              <w:rPr>
                <w:rFonts w:ascii="Arial" w:eastAsia="Calibri" w:hAnsi="Arial" w:cs="Arial"/>
                <w:color w:val="000000"/>
                <w:sz w:val="16"/>
                <w:szCs w:val="16"/>
              </w:rPr>
            </w:pPr>
            <w:r w:rsidRPr="003C76BF">
              <w:rPr>
                <w:rFonts w:ascii="Arial" w:eastAsia="Calibri" w:hAnsi="Arial" w:cs="Arial"/>
                <w:color w:val="000000"/>
                <w:sz w:val="16"/>
                <w:szCs w:val="16"/>
              </w:rPr>
              <w:t>-0.569151</w:t>
            </w:r>
          </w:p>
        </w:tc>
        <w:tc>
          <w:tcPr>
            <w:tcW w:w="992"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ind w:right="20"/>
              <w:jc w:val="right"/>
              <w:rPr>
                <w:rFonts w:ascii="Arial" w:eastAsia="Calibri" w:hAnsi="Arial" w:cs="Arial"/>
                <w:color w:val="000000"/>
                <w:sz w:val="16"/>
                <w:szCs w:val="16"/>
              </w:rPr>
            </w:pPr>
            <w:r w:rsidRPr="003C76BF">
              <w:rPr>
                <w:rFonts w:ascii="Arial" w:eastAsia="Calibri" w:hAnsi="Arial" w:cs="Arial"/>
                <w:color w:val="000000"/>
                <w:sz w:val="16"/>
                <w:szCs w:val="16"/>
              </w:rPr>
              <w:t>0.098750</w:t>
            </w:r>
          </w:p>
        </w:tc>
        <w:tc>
          <w:tcPr>
            <w:tcW w:w="993"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ind w:right="20"/>
              <w:jc w:val="right"/>
              <w:rPr>
                <w:rFonts w:ascii="Arial" w:eastAsia="Calibri" w:hAnsi="Arial" w:cs="Arial"/>
                <w:color w:val="000000"/>
                <w:sz w:val="16"/>
                <w:szCs w:val="16"/>
              </w:rPr>
            </w:pPr>
            <w:r w:rsidRPr="003C76BF">
              <w:rPr>
                <w:rFonts w:ascii="Arial" w:eastAsia="Calibri" w:hAnsi="Arial" w:cs="Arial"/>
                <w:color w:val="000000"/>
                <w:sz w:val="16"/>
                <w:szCs w:val="16"/>
              </w:rPr>
              <w:t>-5.763543</w:t>
            </w:r>
          </w:p>
        </w:tc>
        <w:tc>
          <w:tcPr>
            <w:tcW w:w="992"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ind w:right="20"/>
              <w:jc w:val="right"/>
              <w:rPr>
                <w:rFonts w:ascii="Arial" w:eastAsia="Calibri" w:hAnsi="Arial" w:cs="Arial"/>
                <w:color w:val="000000"/>
                <w:sz w:val="16"/>
                <w:szCs w:val="16"/>
              </w:rPr>
            </w:pPr>
            <w:r w:rsidRPr="003C76BF">
              <w:rPr>
                <w:rFonts w:ascii="Arial" w:eastAsia="Calibri" w:hAnsi="Arial" w:cs="Arial"/>
                <w:color w:val="000000"/>
                <w:sz w:val="16"/>
                <w:szCs w:val="16"/>
              </w:rPr>
              <w:t>0.0000</w:t>
            </w:r>
          </w:p>
        </w:tc>
      </w:tr>
      <w:tr w:rsidR="003C76BF" w:rsidRPr="003C76BF" w:rsidTr="001F6205">
        <w:trPr>
          <w:trHeight w:val="204"/>
          <w:jc w:val="center"/>
        </w:trPr>
        <w:tc>
          <w:tcPr>
            <w:tcW w:w="1569"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jc w:val="center"/>
              <w:rPr>
                <w:rFonts w:ascii="Arial" w:eastAsia="Calibri" w:hAnsi="Arial" w:cs="Arial"/>
                <w:color w:val="000000"/>
                <w:sz w:val="16"/>
                <w:szCs w:val="16"/>
              </w:rPr>
            </w:pPr>
            <w:r w:rsidRPr="003C76BF">
              <w:rPr>
                <w:rFonts w:ascii="Arial" w:eastAsia="Calibri" w:hAnsi="Arial" w:cs="Arial"/>
                <w:color w:val="000000"/>
                <w:sz w:val="16"/>
                <w:szCs w:val="16"/>
              </w:rPr>
              <w:t>IFL</w:t>
            </w:r>
          </w:p>
        </w:tc>
        <w:tc>
          <w:tcPr>
            <w:tcW w:w="992"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ind w:right="20"/>
              <w:jc w:val="right"/>
              <w:rPr>
                <w:rFonts w:ascii="Arial" w:eastAsia="Calibri" w:hAnsi="Arial" w:cs="Arial"/>
                <w:color w:val="000000"/>
                <w:sz w:val="16"/>
                <w:szCs w:val="16"/>
              </w:rPr>
            </w:pPr>
            <w:r w:rsidRPr="003C76BF">
              <w:rPr>
                <w:rFonts w:ascii="Arial" w:eastAsia="Calibri" w:hAnsi="Arial" w:cs="Arial"/>
                <w:color w:val="000000"/>
                <w:sz w:val="16"/>
                <w:szCs w:val="16"/>
              </w:rPr>
              <w:t>-0.149494</w:t>
            </w:r>
          </w:p>
        </w:tc>
        <w:tc>
          <w:tcPr>
            <w:tcW w:w="992"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ind w:right="20"/>
              <w:jc w:val="right"/>
              <w:rPr>
                <w:rFonts w:ascii="Arial" w:eastAsia="Calibri" w:hAnsi="Arial" w:cs="Arial"/>
                <w:color w:val="000000"/>
                <w:sz w:val="16"/>
                <w:szCs w:val="16"/>
              </w:rPr>
            </w:pPr>
            <w:r w:rsidRPr="003C76BF">
              <w:rPr>
                <w:rFonts w:ascii="Arial" w:eastAsia="Calibri" w:hAnsi="Arial" w:cs="Arial"/>
                <w:color w:val="000000"/>
                <w:sz w:val="16"/>
                <w:szCs w:val="16"/>
              </w:rPr>
              <w:t>0.129110</w:t>
            </w:r>
          </w:p>
        </w:tc>
        <w:tc>
          <w:tcPr>
            <w:tcW w:w="993"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ind w:right="20"/>
              <w:jc w:val="right"/>
              <w:rPr>
                <w:rFonts w:ascii="Arial" w:eastAsia="Calibri" w:hAnsi="Arial" w:cs="Arial"/>
                <w:color w:val="000000"/>
                <w:sz w:val="16"/>
                <w:szCs w:val="16"/>
              </w:rPr>
            </w:pPr>
            <w:r w:rsidRPr="003C76BF">
              <w:rPr>
                <w:rFonts w:ascii="Arial" w:eastAsia="Calibri" w:hAnsi="Arial" w:cs="Arial"/>
                <w:color w:val="000000"/>
                <w:sz w:val="16"/>
                <w:szCs w:val="16"/>
              </w:rPr>
              <w:t>-1.157880</w:t>
            </w:r>
          </w:p>
        </w:tc>
        <w:tc>
          <w:tcPr>
            <w:tcW w:w="992"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ind w:right="20"/>
              <w:jc w:val="right"/>
              <w:rPr>
                <w:rFonts w:ascii="Arial" w:eastAsia="Calibri" w:hAnsi="Arial" w:cs="Arial"/>
                <w:color w:val="000000"/>
                <w:sz w:val="16"/>
                <w:szCs w:val="16"/>
              </w:rPr>
            </w:pPr>
            <w:r w:rsidRPr="003C76BF">
              <w:rPr>
                <w:rFonts w:ascii="Arial" w:eastAsia="Calibri" w:hAnsi="Arial" w:cs="Arial"/>
                <w:color w:val="000000"/>
                <w:sz w:val="16"/>
                <w:szCs w:val="16"/>
              </w:rPr>
              <w:t>0.2501</w:t>
            </w:r>
          </w:p>
        </w:tc>
      </w:tr>
      <w:tr w:rsidR="003C76BF" w:rsidRPr="003C76BF" w:rsidTr="001F6205">
        <w:trPr>
          <w:trHeight w:hRule="exact" w:val="81"/>
          <w:jc w:val="center"/>
        </w:trPr>
        <w:tc>
          <w:tcPr>
            <w:tcW w:w="1569" w:type="dxa"/>
            <w:tcBorders>
              <w:top w:val="nil"/>
              <w:left w:val="nil"/>
              <w:bottom w:val="double" w:sz="6" w:space="2" w:color="auto"/>
              <w:right w:val="nil"/>
            </w:tcBorders>
            <w:vAlign w:val="bottom"/>
          </w:tcPr>
          <w:p w:rsidR="003C76BF" w:rsidRPr="003C76BF" w:rsidRDefault="003C76BF" w:rsidP="003C76BF">
            <w:pPr>
              <w:autoSpaceDE w:val="0"/>
              <w:autoSpaceDN w:val="0"/>
              <w:adjustRightInd w:val="0"/>
              <w:spacing w:after="0" w:line="240" w:lineRule="auto"/>
              <w:jc w:val="center"/>
              <w:rPr>
                <w:rFonts w:ascii="Arial" w:eastAsia="Calibri" w:hAnsi="Arial" w:cs="Arial"/>
                <w:color w:val="000000"/>
                <w:sz w:val="16"/>
                <w:szCs w:val="16"/>
              </w:rPr>
            </w:pPr>
          </w:p>
        </w:tc>
        <w:tc>
          <w:tcPr>
            <w:tcW w:w="992" w:type="dxa"/>
            <w:tcBorders>
              <w:top w:val="nil"/>
              <w:left w:val="nil"/>
              <w:bottom w:val="double" w:sz="6" w:space="2" w:color="auto"/>
              <w:right w:val="nil"/>
            </w:tcBorders>
            <w:vAlign w:val="bottom"/>
          </w:tcPr>
          <w:p w:rsidR="003C76BF" w:rsidRPr="003C76BF" w:rsidRDefault="003C76BF" w:rsidP="003C76BF">
            <w:pPr>
              <w:autoSpaceDE w:val="0"/>
              <w:autoSpaceDN w:val="0"/>
              <w:adjustRightInd w:val="0"/>
              <w:spacing w:after="0" w:line="240" w:lineRule="auto"/>
              <w:jc w:val="center"/>
              <w:rPr>
                <w:rFonts w:ascii="Arial" w:eastAsia="Calibri" w:hAnsi="Arial" w:cs="Arial"/>
                <w:color w:val="000000"/>
                <w:sz w:val="16"/>
                <w:szCs w:val="16"/>
              </w:rPr>
            </w:pPr>
          </w:p>
        </w:tc>
        <w:tc>
          <w:tcPr>
            <w:tcW w:w="992" w:type="dxa"/>
            <w:tcBorders>
              <w:top w:val="nil"/>
              <w:left w:val="nil"/>
              <w:bottom w:val="double" w:sz="6" w:space="2" w:color="auto"/>
              <w:right w:val="nil"/>
            </w:tcBorders>
            <w:vAlign w:val="bottom"/>
          </w:tcPr>
          <w:p w:rsidR="003C76BF" w:rsidRPr="003C76BF" w:rsidRDefault="003C76BF" w:rsidP="003C76BF">
            <w:pPr>
              <w:autoSpaceDE w:val="0"/>
              <w:autoSpaceDN w:val="0"/>
              <w:adjustRightInd w:val="0"/>
              <w:spacing w:after="0" w:line="240" w:lineRule="auto"/>
              <w:jc w:val="center"/>
              <w:rPr>
                <w:rFonts w:ascii="Arial" w:eastAsia="Calibri" w:hAnsi="Arial" w:cs="Arial"/>
                <w:color w:val="000000"/>
                <w:sz w:val="16"/>
                <w:szCs w:val="16"/>
              </w:rPr>
            </w:pPr>
          </w:p>
        </w:tc>
        <w:tc>
          <w:tcPr>
            <w:tcW w:w="993" w:type="dxa"/>
            <w:tcBorders>
              <w:top w:val="nil"/>
              <w:left w:val="nil"/>
              <w:bottom w:val="double" w:sz="6" w:space="2" w:color="auto"/>
              <w:right w:val="nil"/>
            </w:tcBorders>
            <w:vAlign w:val="bottom"/>
          </w:tcPr>
          <w:p w:rsidR="003C76BF" w:rsidRPr="003C76BF" w:rsidRDefault="003C76BF" w:rsidP="003C76BF">
            <w:pPr>
              <w:autoSpaceDE w:val="0"/>
              <w:autoSpaceDN w:val="0"/>
              <w:adjustRightInd w:val="0"/>
              <w:spacing w:after="0" w:line="240" w:lineRule="auto"/>
              <w:jc w:val="center"/>
              <w:rPr>
                <w:rFonts w:ascii="Arial" w:eastAsia="Calibri" w:hAnsi="Arial" w:cs="Arial"/>
                <w:color w:val="000000"/>
                <w:sz w:val="16"/>
                <w:szCs w:val="16"/>
              </w:rPr>
            </w:pPr>
          </w:p>
        </w:tc>
        <w:tc>
          <w:tcPr>
            <w:tcW w:w="992" w:type="dxa"/>
            <w:tcBorders>
              <w:top w:val="nil"/>
              <w:left w:val="nil"/>
              <w:bottom w:val="double" w:sz="6" w:space="2" w:color="auto"/>
              <w:right w:val="nil"/>
            </w:tcBorders>
            <w:vAlign w:val="bottom"/>
          </w:tcPr>
          <w:p w:rsidR="003C76BF" w:rsidRPr="003C76BF" w:rsidRDefault="003C76BF" w:rsidP="003C76BF">
            <w:pPr>
              <w:autoSpaceDE w:val="0"/>
              <w:autoSpaceDN w:val="0"/>
              <w:adjustRightInd w:val="0"/>
              <w:spacing w:after="0" w:line="240" w:lineRule="auto"/>
              <w:jc w:val="center"/>
              <w:rPr>
                <w:rFonts w:ascii="Arial" w:eastAsia="Calibri" w:hAnsi="Arial" w:cs="Arial"/>
                <w:color w:val="000000"/>
                <w:sz w:val="16"/>
                <w:szCs w:val="16"/>
              </w:rPr>
            </w:pPr>
          </w:p>
        </w:tc>
      </w:tr>
      <w:tr w:rsidR="003C76BF" w:rsidRPr="003C76BF" w:rsidTr="001F6205">
        <w:trPr>
          <w:trHeight w:hRule="exact" w:val="122"/>
          <w:jc w:val="center"/>
        </w:trPr>
        <w:tc>
          <w:tcPr>
            <w:tcW w:w="1569"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jc w:val="center"/>
              <w:rPr>
                <w:rFonts w:ascii="Arial" w:eastAsia="Calibri" w:hAnsi="Arial" w:cs="Arial"/>
                <w:color w:val="000000"/>
                <w:sz w:val="16"/>
                <w:szCs w:val="16"/>
              </w:rPr>
            </w:pPr>
          </w:p>
        </w:tc>
        <w:tc>
          <w:tcPr>
            <w:tcW w:w="992"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jc w:val="center"/>
              <w:rPr>
                <w:rFonts w:ascii="Arial" w:eastAsia="Calibri" w:hAnsi="Arial" w:cs="Arial"/>
                <w:color w:val="000000"/>
                <w:sz w:val="16"/>
                <w:szCs w:val="16"/>
              </w:rPr>
            </w:pPr>
          </w:p>
        </w:tc>
        <w:tc>
          <w:tcPr>
            <w:tcW w:w="992"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jc w:val="center"/>
              <w:rPr>
                <w:rFonts w:ascii="Arial" w:eastAsia="Calibri" w:hAnsi="Arial" w:cs="Arial"/>
                <w:color w:val="000000"/>
                <w:sz w:val="16"/>
                <w:szCs w:val="16"/>
              </w:rPr>
            </w:pPr>
          </w:p>
        </w:tc>
        <w:tc>
          <w:tcPr>
            <w:tcW w:w="993"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jc w:val="center"/>
              <w:rPr>
                <w:rFonts w:ascii="Arial" w:eastAsia="Calibri" w:hAnsi="Arial" w:cs="Arial"/>
                <w:color w:val="000000"/>
                <w:sz w:val="16"/>
                <w:szCs w:val="16"/>
              </w:rPr>
            </w:pPr>
          </w:p>
        </w:tc>
        <w:tc>
          <w:tcPr>
            <w:tcW w:w="992"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jc w:val="center"/>
              <w:rPr>
                <w:rFonts w:ascii="Arial" w:eastAsia="Calibri" w:hAnsi="Arial" w:cs="Arial"/>
                <w:color w:val="000000"/>
                <w:sz w:val="16"/>
                <w:szCs w:val="16"/>
              </w:rPr>
            </w:pPr>
          </w:p>
        </w:tc>
      </w:tr>
      <w:tr w:rsidR="003C76BF" w:rsidRPr="003C76BF" w:rsidTr="001F6205">
        <w:trPr>
          <w:trHeight w:val="204"/>
          <w:jc w:val="center"/>
        </w:trPr>
        <w:tc>
          <w:tcPr>
            <w:tcW w:w="1569"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jc w:val="center"/>
              <w:rPr>
                <w:rFonts w:ascii="Arial" w:eastAsia="Calibri" w:hAnsi="Arial" w:cs="Arial"/>
                <w:color w:val="000000"/>
                <w:sz w:val="16"/>
                <w:szCs w:val="16"/>
              </w:rPr>
            </w:pPr>
          </w:p>
        </w:tc>
        <w:tc>
          <w:tcPr>
            <w:tcW w:w="1984" w:type="dxa"/>
            <w:gridSpan w:val="2"/>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jc w:val="center"/>
              <w:rPr>
                <w:rFonts w:ascii="Arial" w:eastAsia="Calibri" w:hAnsi="Arial" w:cs="Arial"/>
                <w:color w:val="000000"/>
                <w:sz w:val="16"/>
                <w:szCs w:val="16"/>
              </w:rPr>
            </w:pPr>
            <w:r w:rsidRPr="003C76BF">
              <w:rPr>
                <w:rFonts w:ascii="Arial" w:eastAsia="Calibri" w:hAnsi="Arial" w:cs="Arial"/>
                <w:color w:val="000000"/>
                <w:sz w:val="16"/>
                <w:szCs w:val="16"/>
              </w:rPr>
              <w:t>Effects Specification</w:t>
            </w:r>
          </w:p>
        </w:tc>
        <w:tc>
          <w:tcPr>
            <w:tcW w:w="993"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jc w:val="center"/>
              <w:rPr>
                <w:rFonts w:ascii="Arial" w:eastAsia="Calibri" w:hAnsi="Arial" w:cs="Arial"/>
                <w:color w:val="000000"/>
                <w:sz w:val="16"/>
                <w:szCs w:val="16"/>
              </w:rPr>
            </w:pPr>
          </w:p>
        </w:tc>
        <w:tc>
          <w:tcPr>
            <w:tcW w:w="992"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jc w:val="center"/>
              <w:rPr>
                <w:rFonts w:ascii="Arial" w:eastAsia="Calibri" w:hAnsi="Arial" w:cs="Arial"/>
                <w:color w:val="000000"/>
                <w:sz w:val="16"/>
                <w:szCs w:val="16"/>
              </w:rPr>
            </w:pPr>
          </w:p>
        </w:tc>
      </w:tr>
      <w:tr w:rsidR="003C76BF" w:rsidRPr="003C76BF" w:rsidTr="001F6205">
        <w:trPr>
          <w:trHeight w:hRule="exact" w:val="81"/>
          <w:jc w:val="center"/>
        </w:trPr>
        <w:tc>
          <w:tcPr>
            <w:tcW w:w="1569" w:type="dxa"/>
            <w:tcBorders>
              <w:top w:val="nil"/>
              <w:left w:val="nil"/>
              <w:bottom w:val="double" w:sz="6" w:space="2" w:color="auto"/>
              <w:right w:val="nil"/>
            </w:tcBorders>
            <w:vAlign w:val="bottom"/>
          </w:tcPr>
          <w:p w:rsidR="003C76BF" w:rsidRPr="003C76BF" w:rsidRDefault="003C76BF" w:rsidP="003C76BF">
            <w:pPr>
              <w:autoSpaceDE w:val="0"/>
              <w:autoSpaceDN w:val="0"/>
              <w:adjustRightInd w:val="0"/>
              <w:spacing w:after="0" w:line="240" w:lineRule="auto"/>
              <w:jc w:val="center"/>
              <w:rPr>
                <w:rFonts w:ascii="Arial" w:eastAsia="Calibri" w:hAnsi="Arial" w:cs="Arial"/>
                <w:color w:val="000000"/>
                <w:sz w:val="16"/>
                <w:szCs w:val="16"/>
              </w:rPr>
            </w:pPr>
          </w:p>
        </w:tc>
        <w:tc>
          <w:tcPr>
            <w:tcW w:w="992" w:type="dxa"/>
            <w:tcBorders>
              <w:top w:val="nil"/>
              <w:left w:val="nil"/>
              <w:bottom w:val="double" w:sz="6" w:space="2" w:color="auto"/>
              <w:right w:val="nil"/>
            </w:tcBorders>
            <w:vAlign w:val="bottom"/>
          </w:tcPr>
          <w:p w:rsidR="003C76BF" w:rsidRPr="003C76BF" w:rsidRDefault="003C76BF" w:rsidP="003C76BF">
            <w:pPr>
              <w:autoSpaceDE w:val="0"/>
              <w:autoSpaceDN w:val="0"/>
              <w:adjustRightInd w:val="0"/>
              <w:spacing w:after="0" w:line="240" w:lineRule="auto"/>
              <w:jc w:val="center"/>
              <w:rPr>
                <w:rFonts w:ascii="Arial" w:eastAsia="Calibri" w:hAnsi="Arial" w:cs="Arial"/>
                <w:color w:val="000000"/>
                <w:sz w:val="16"/>
                <w:szCs w:val="16"/>
              </w:rPr>
            </w:pPr>
          </w:p>
        </w:tc>
        <w:tc>
          <w:tcPr>
            <w:tcW w:w="992" w:type="dxa"/>
            <w:tcBorders>
              <w:top w:val="nil"/>
              <w:left w:val="nil"/>
              <w:bottom w:val="double" w:sz="6" w:space="2" w:color="auto"/>
              <w:right w:val="nil"/>
            </w:tcBorders>
            <w:vAlign w:val="bottom"/>
          </w:tcPr>
          <w:p w:rsidR="003C76BF" w:rsidRPr="003C76BF" w:rsidRDefault="003C76BF" w:rsidP="003C76BF">
            <w:pPr>
              <w:autoSpaceDE w:val="0"/>
              <w:autoSpaceDN w:val="0"/>
              <w:adjustRightInd w:val="0"/>
              <w:spacing w:after="0" w:line="240" w:lineRule="auto"/>
              <w:jc w:val="center"/>
              <w:rPr>
                <w:rFonts w:ascii="Arial" w:eastAsia="Calibri" w:hAnsi="Arial" w:cs="Arial"/>
                <w:color w:val="000000"/>
                <w:sz w:val="16"/>
                <w:szCs w:val="16"/>
              </w:rPr>
            </w:pPr>
          </w:p>
        </w:tc>
        <w:tc>
          <w:tcPr>
            <w:tcW w:w="993" w:type="dxa"/>
            <w:tcBorders>
              <w:top w:val="nil"/>
              <w:left w:val="nil"/>
              <w:bottom w:val="double" w:sz="6" w:space="2" w:color="auto"/>
              <w:right w:val="nil"/>
            </w:tcBorders>
            <w:vAlign w:val="bottom"/>
          </w:tcPr>
          <w:p w:rsidR="003C76BF" w:rsidRPr="003C76BF" w:rsidRDefault="003C76BF" w:rsidP="003C76BF">
            <w:pPr>
              <w:autoSpaceDE w:val="0"/>
              <w:autoSpaceDN w:val="0"/>
              <w:adjustRightInd w:val="0"/>
              <w:spacing w:after="0" w:line="240" w:lineRule="auto"/>
              <w:jc w:val="center"/>
              <w:rPr>
                <w:rFonts w:ascii="Arial" w:eastAsia="Calibri" w:hAnsi="Arial" w:cs="Arial"/>
                <w:color w:val="000000"/>
                <w:sz w:val="16"/>
                <w:szCs w:val="16"/>
              </w:rPr>
            </w:pPr>
          </w:p>
        </w:tc>
        <w:tc>
          <w:tcPr>
            <w:tcW w:w="992" w:type="dxa"/>
            <w:tcBorders>
              <w:top w:val="nil"/>
              <w:left w:val="nil"/>
              <w:bottom w:val="double" w:sz="6" w:space="2" w:color="auto"/>
              <w:right w:val="nil"/>
            </w:tcBorders>
            <w:vAlign w:val="bottom"/>
          </w:tcPr>
          <w:p w:rsidR="003C76BF" w:rsidRPr="003C76BF" w:rsidRDefault="003C76BF" w:rsidP="003C76BF">
            <w:pPr>
              <w:autoSpaceDE w:val="0"/>
              <w:autoSpaceDN w:val="0"/>
              <w:adjustRightInd w:val="0"/>
              <w:spacing w:after="0" w:line="240" w:lineRule="auto"/>
              <w:jc w:val="center"/>
              <w:rPr>
                <w:rFonts w:ascii="Arial" w:eastAsia="Calibri" w:hAnsi="Arial" w:cs="Arial"/>
                <w:color w:val="000000"/>
                <w:sz w:val="16"/>
                <w:szCs w:val="16"/>
              </w:rPr>
            </w:pPr>
          </w:p>
        </w:tc>
      </w:tr>
      <w:tr w:rsidR="003C76BF" w:rsidRPr="003C76BF" w:rsidTr="001F6205">
        <w:trPr>
          <w:trHeight w:hRule="exact" w:val="122"/>
          <w:jc w:val="center"/>
        </w:trPr>
        <w:tc>
          <w:tcPr>
            <w:tcW w:w="1569"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jc w:val="center"/>
              <w:rPr>
                <w:rFonts w:ascii="Arial" w:eastAsia="Calibri" w:hAnsi="Arial" w:cs="Arial"/>
                <w:color w:val="000000"/>
                <w:sz w:val="16"/>
                <w:szCs w:val="16"/>
              </w:rPr>
            </w:pPr>
          </w:p>
        </w:tc>
        <w:tc>
          <w:tcPr>
            <w:tcW w:w="992"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jc w:val="center"/>
              <w:rPr>
                <w:rFonts w:ascii="Arial" w:eastAsia="Calibri" w:hAnsi="Arial" w:cs="Arial"/>
                <w:color w:val="000000"/>
                <w:sz w:val="16"/>
                <w:szCs w:val="16"/>
              </w:rPr>
            </w:pPr>
          </w:p>
        </w:tc>
        <w:tc>
          <w:tcPr>
            <w:tcW w:w="992"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jc w:val="center"/>
              <w:rPr>
                <w:rFonts w:ascii="Arial" w:eastAsia="Calibri" w:hAnsi="Arial" w:cs="Arial"/>
                <w:color w:val="000000"/>
                <w:sz w:val="16"/>
                <w:szCs w:val="16"/>
              </w:rPr>
            </w:pPr>
          </w:p>
        </w:tc>
        <w:tc>
          <w:tcPr>
            <w:tcW w:w="993"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jc w:val="center"/>
              <w:rPr>
                <w:rFonts w:ascii="Arial" w:eastAsia="Calibri" w:hAnsi="Arial" w:cs="Arial"/>
                <w:color w:val="000000"/>
                <w:sz w:val="16"/>
                <w:szCs w:val="16"/>
              </w:rPr>
            </w:pPr>
          </w:p>
        </w:tc>
        <w:tc>
          <w:tcPr>
            <w:tcW w:w="992"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jc w:val="center"/>
              <w:rPr>
                <w:rFonts w:ascii="Arial" w:eastAsia="Calibri" w:hAnsi="Arial" w:cs="Arial"/>
                <w:color w:val="000000"/>
                <w:sz w:val="16"/>
                <w:szCs w:val="16"/>
              </w:rPr>
            </w:pPr>
          </w:p>
        </w:tc>
      </w:tr>
      <w:tr w:rsidR="003C76BF" w:rsidRPr="003C76BF" w:rsidTr="001F6205">
        <w:trPr>
          <w:trHeight w:val="204"/>
          <w:jc w:val="center"/>
        </w:trPr>
        <w:tc>
          <w:tcPr>
            <w:tcW w:w="4546" w:type="dxa"/>
            <w:gridSpan w:val="4"/>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rPr>
                <w:rFonts w:ascii="Arial" w:eastAsia="Calibri" w:hAnsi="Arial" w:cs="Arial"/>
                <w:color w:val="000000"/>
                <w:sz w:val="16"/>
                <w:szCs w:val="16"/>
              </w:rPr>
            </w:pPr>
            <w:r w:rsidRPr="003C76BF">
              <w:rPr>
                <w:rFonts w:ascii="Arial" w:eastAsia="Calibri" w:hAnsi="Arial" w:cs="Arial"/>
                <w:color w:val="000000"/>
                <w:sz w:val="16"/>
                <w:szCs w:val="16"/>
              </w:rPr>
              <w:t>Period fixed (dummy variables)</w:t>
            </w:r>
          </w:p>
        </w:tc>
        <w:tc>
          <w:tcPr>
            <w:tcW w:w="992"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jc w:val="center"/>
              <w:rPr>
                <w:rFonts w:ascii="Arial" w:eastAsia="Calibri" w:hAnsi="Arial" w:cs="Arial"/>
                <w:color w:val="000000"/>
                <w:sz w:val="16"/>
                <w:szCs w:val="16"/>
              </w:rPr>
            </w:pPr>
          </w:p>
        </w:tc>
      </w:tr>
      <w:tr w:rsidR="003C76BF" w:rsidRPr="003C76BF" w:rsidTr="001F6205">
        <w:trPr>
          <w:trHeight w:hRule="exact" w:val="81"/>
          <w:jc w:val="center"/>
        </w:trPr>
        <w:tc>
          <w:tcPr>
            <w:tcW w:w="1569" w:type="dxa"/>
            <w:tcBorders>
              <w:top w:val="nil"/>
              <w:left w:val="nil"/>
              <w:bottom w:val="double" w:sz="6" w:space="2" w:color="auto"/>
              <w:right w:val="nil"/>
            </w:tcBorders>
            <w:vAlign w:val="bottom"/>
          </w:tcPr>
          <w:p w:rsidR="003C76BF" w:rsidRPr="003C76BF" w:rsidRDefault="003C76BF" w:rsidP="003C76BF">
            <w:pPr>
              <w:autoSpaceDE w:val="0"/>
              <w:autoSpaceDN w:val="0"/>
              <w:adjustRightInd w:val="0"/>
              <w:spacing w:after="0" w:line="240" w:lineRule="auto"/>
              <w:jc w:val="center"/>
              <w:rPr>
                <w:rFonts w:ascii="Arial" w:eastAsia="Calibri" w:hAnsi="Arial" w:cs="Arial"/>
                <w:color w:val="000000"/>
                <w:sz w:val="16"/>
                <w:szCs w:val="16"/>
              </w:rPr>
            </w:pPr>
          </w:p>
        </w:tc>
        <w:tc>
          <w:tcPr>
            <w:tcW w:w="992" w:type="dxa"/>
            <w:tcBorders>
              <w:top w:val="nil"/>
              <w:left w:val="nil"/>
              <w:bottom w:val="double" w:sz="6" w:space="2" w:color="auto"/>
              <w:right w:val="nil"/>
            </w:tcBorders>
            <w:vAlign w:val="bottom"/>
          </w:tcPr>
          <w:p w:rsidR="003C76BF" w:rsidRPr="003C76BF" w:rsidRDefault="003C76BF" w:rsidP="003C76BF">
            <w:pPr>
              <w:autoSpaceDE w:val="0"/>
              <w:autoSpaceDN w:val="0"/>
              <w:adjustRightInd w:val="0"/>
              <w:spacing w:after="0" w:line="240" w:lineRule="auto"/>
              <w:jc w:val="center"/>
              <w:rPr>
                <w:rFonts w:ascii="Arial" w:eastAsia="Calibri" w:hAnsi="Arial" w:cs="Arial"/>
                <w:color w:val="000000"/>
                <w:sz w:val="16"/>
                <w:szCs w:val="16"/>
              </w:rPr>
            </w:pPr>
          </w:p>
        </w:tc>
        <w:tc>
          <w:tcPr>
            <w:tcW w:w="992" w:type="dxa"/>
            <w:tcBorders>
              <w:top w:val="nil"/>
              <w:left w:val="nil"/>
              <w:bottom w:val="double" w:sz="6" w:space="2" w:color="auto"/>
              <w:right w:val="nil"/>
            </w:tcBorders>
            <w:vAlign w:val="bottom"/>
          </w:tcPr>
          <w:p w:rsidR="003C76BF" w:rsidRPr="003C76BF" w:rsidRDefault="003C76BF" w:rsidP="003C76BF">
            <w:pPr>
              <w:autoSpaceDE w:val="0"/>
              <w:autoSpaceDN w:val="0"/>
              <w:adjustRightInd w:val="0"/>
              <w:spacing w:after="0" w:line="240" w:lineRule="auto"/>
              <w:jc w:val="center"/>
              <w:rPr>
                <w:rFonts w:ascii="Arial" w:eastAsia="Calibri" w:hAnsi="Arial" w:cs="Arial"/>
                <w:color w:val="000000"/>
                <w:sz w:val="16"/>
                <w:szCs w:val="16"/>
              </w:rPr>
            </w:pPr>
          </w:p>
        </w:tc>
        <w:tc>
          <w:tcPr>
            <w:tcW w:w="993" w:type="dxa"/>
            <w:tcBorders>
              <w:top w:val="nil"/>
              <w:left w:val="nil"/>
              <w:bottom w:val="double" w:sz="6" w:space="2" w:color="auto"/>
              <w:right w:val="nil"/>
            </w:tcBorders>
            <w:vAlign w:val="bottom"/>
          </w:tcPr>
          <w:p w:rsidR="003C76BF" w:rsidRPr="003C76BF" w:rsidRDefault="003C76BF" w:rsidP="003C76BF">
            <w:pPr>
              <w:autoSpaceDE w:val="0"/>
              <w:autoSpaceDN w:val="0"/>
              <w:adjustRightInd w:val="0"/>
              <w:spacing w:after="0" w:line="240" w:lineRule="auto"/>
              <w:jc w:val="center"/>
              <w:rPr>
                <w:rFonts w:ascii="Arial" w:eastAsia="Calibri" w:hAnsi="Arial" w:cs="Arial"/>
                <w:color w:val="000000"/>
                <w:sz w:val="16"/>
                <w:szCs w:val="16"/>
              </w:rPr>
            </w:pPr>
          </w:p>
        </w:tc>
        <w:tc>
          <w:tcPr>
            <w:tcW w:w="992" w:type="dxa"/>
            <w:tcBorders>
              <w:top w:val="nil"/>
              <w:left w:val="nil"/>
              <w:bottom w:val="double" w:sz="6" w:space="2" w:color="auto"/>
              <w:right w:val="nil"/>
            </w:tcBorders>
            <w:vAlign w:val="bottom"/>
          </w:tcPr>
          <w:p w:rsidR="003C76BF" w:rsidRPr="003C76BF" w:rsidRDefault="003C76BF" w:rsidP="003C76BF">
            <w:pPr>
              <w:autoSpaceDE w:val="0"/>
              <w:autoSpaceDN w:val="0"/>
              <w:adjustRightInd w:val="0"/>
              <w:spacing w:after="0" w:line="240" w:lineRule="auto"/>
              <w:jc w:val="center"/>
              <w:rPr>
                <w:rFonts w:ascii="Arial" w:eastAsia="Calibri" w:hAnsi="Arial" w:cs="Arial"/>
                <w:color w:val="000000"/>
                <w:sz w:val="16"/>
                <w:szCs w:val="16"/>
              </w:rPr>
            </w:pPr>
          </w:p>
        </w:tc>
      </w:tr>
      <w:tr w:rsidR="003C76BF" w:rsidRPr="003C76BF" w:rsidTr="001F6205">
        <w:trPr>
          <w:trHeight w:hRule="exact" w:val="122"/>
          <w:jc w:val="center"/>
        </w:trPr>
        <w:tc>
          <w:tcPr>
            <w:tcW w:w="1569"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jc w:val="center"/>
              <w:rPr>
                <w:rFonts w:ascii="Arial" w:eastAsia="Calibri" w:hAnsi="Arial" w:cs="Arial"/>
                <w:color w:val="000000"/>
                <w:sz w:val="16"/>
                <w:szCs w:val="16"/>
              </w:rPr>
            </w:pPr>
          </w:p>
        </w:tc>
        <w:tc>
          <w:tcPr>
            <w:tcW w:w="992"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jc w:val="center"/>
              <w:rPr>
                <w:rFonts w:ascii="Arial" w:eastAsia="Calibri" w:hAnsi="Arial" w:cs="Arial"/>
                <w:color w:val="000000"/>
                <w:sz w:val="16"/>
                <w:szCs w:val="16"/>
              </w:rPr>
            </w:pPr>
          </w:p>
        </w:tc>
        <w:tc>
          <w:tcPr>
            <w:tcW w:w="992"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jc w:val="center"/>
              <w:rPr>
                <w:rFonts w:ascii="Arial" w:eastAsia="Calibri" w:hAnsi="Arial" w:cs="Arial"/>
                <w:color w:val="000000"/>
                <w:sz w:val="16"/>
                <w:szCs w:val="16"/>
              </w:rPr>
            </w:pPr>
          </w:p>
        </w:tc>
        <w:tc>
          <w:tcPr>
            <w:tcW w:w="993"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jc w:val="center"/>
              <w:rPr>
                <w:rFonts w:ascii="Arial" w:eastAsia="Calibri" w:hAnsi="Arial" w:cs="Arial"/>
                <w:color w:val="000000"/>
                <w:sz w:val="16"/>
                <w:szCs w:val="16"/>
              </w:rPr>
            </w:pPr>
          </w:p>
        </w:tc>
        <w:tc>
          <w:tcPr>
            <w:tcW w:w="992"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jc w:val="center"/>
              <w:rPr>
                <w:rFonts w:ascii="Arial" w:eastAsia="Calibri" w:hAnsi="Arial" w:cs="Arial"/>
                <w:color w:val="000000"/>
                <w:sz w:val="16"/>
                <w:szCs w:val="16"/>
              </w:rPr>
            </w:pPr>
          </w:p>
        </w:tc>
      </w:tr>
      <w:tr w:rsidR="003C76BF" w:rsidRPr="003C76BF" w:rsidTr="001F6205">
        <w:trPr>
          <w:trHeight w:val="204"/>
          <w:jc w:val="center"/>
        </w:trPr>
        <w:tc>
          <w:tcPr>
            <w:tcW w:w="1569"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rPr>
                <w:rFonts w:ascii="Arial" w:eastAsia="Calibri" w:hAnsi="Arial" w:cs="Arial"/>
                <w:color w:val="000000"/>
                <w:sz w:val="16"/>
                <w:szCs w:val="16"/>
              </w:rPr>
            </w:pPr>
            <w:r w:rsidRPr="003C76BF">
              <w:rPr>
                <w:rFonts w:ascii="Arial" w:eastAsia="Calibri" w:hAnsi="Arial" w:cs="Arial"/>
                <w:color w:val="000000"/>
                <w:sz w:val="16"/>
                <w:szCs w:val="16"/>
              </w:rPr>
              <w:t>R-squared</w:t>
            </w:r>
          </w:p>
        </w:tc>
        <w:tc>
          <w:tcPr>
            <w:tcW w:w="992"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ind w:right="20"/>
              <w:jc w:val="right"/>
              <w:rPr>
                <w:rFonts w:ascii="Arial" w:eastAsia="Calibri" w:hAnsi="Arial" w:cs="Arial"/>
                <w:color w:val="000000"/>
                <w:sz w:val="16"/>
                <w:szCs w:val="16"/>
              </w:rPr>
            </w:pPr>
            <w:r w:rsidRPr="003C76BF">
              <w:rPr>
                <w:rFonts w:ascii="Arial" w:eastAsia="Calibri" w:hAnsi="Arial" w:cs="Arial"/>
                <w:color w:val="000000"/>
                <w:sz w:val="16"/>
                <w:szCs w:val="16"/>
              </w:rPr>
              <w:t>0.396988</w:t>
            </w:r>
          </w:p>
        </w:tc>
        <w:tc>
          <w:tcPr>
            <w:tcW w:w="1985" w:type="dxa"/>
            <w:gridSpan w:val="2"/>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ind w:right="20"/>
              <w:rPr>
                <w:rFonts w:ascii="Arial" w:eastAsia="Calibri" w:hAnsi="Arial" w:cs="Arial"/>
                <w:color w:val="000000"/>
                <w:sz w:val="16"/>
                <w:szCs w:val="16"/>
              </w:rPr>
            </w:pPr>
            <w:r w:rsidRPr="003C76BF">
              <w:rPr>
                <w:rFonts w:ascii="Arial" w:eastAsia="Calibri" w:hAnsi="Arial" w:cs="Arial"/>
                <w:color w:val="000000"/>
                <w:sz w:val="16"/>
                <w:szCs w:val="16"/>
              </w:rPr>
              <w:t>    Mean dependent var</w:t>
            </w:r>
          </w:p>
        </w:tc>
        <w:tc>
          <w:tcPr>
            <w:tcW w:w="992"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ind w:right="20"/>
              <w:jc w:val="right"/>
              <w:rPr>
                <w:rFonts w:ascii="Arial" w:eastAsia="Calibri" w:hAnsi="Arial" w:cs="Arial"/>
                <w:color w:val="000000"/>
                <w:sz w:val="16"/>
                <w:szCs w:val="16"/>
              </w:rPr>
            </w:pPr>
            <w:r w:rsidRPr="003C76BF">
              <w:rPr>
                <w:rFonts w:ascii="Arial" w:eastAsia="Calibri" w:hAnsi="Arial" w:cs="Arial"/>
                <w:color w:val="000000"/>
                <w:sz w:val="16"/>
                <w:szCs w:val="16"/>
              </w:rPr>
              <w:t>5.603600</w:t>
            </w:r>
          </w:p>
        </w:tc>
      </w:tr>
      <w:tr w:rsidR="003C76BF" w:rsidRPr="003C76BF" w:rsidTr="001F6205">
        <w:trPr>
          <w:trHeight w:val="204"/>
          <w:jc w:val="center"/>
        </w:trPr>
        <w:tc>
          <w:tcPr>
            <w:tcW w:w="1569"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rPr>
                <w:rFonts w:ascii="Arial" w:eastAsia="Calibri" w:hAnsi="Arial" w:cs="Arial"/>
                <w:color w:val="000000"/>
                <w:sz w:val="16"/>
                <w:szCs w:val="16"/>
              </w:rPr>
            </w:pPr>
            <w:r w:rsidRPr="003C76BF">
              <w:rPr>
                <w:rFonts w:ascii="Arial" w:eastAsia="Calibri" w:hAnsi="Arial" w:cs="Arial"/>
                <w:color w:val="000000"/>
                <w:sz w:val="16"/>
                <w:szCs w:val="16"/>
              </w:rPr>
              <w:t>Adjusted R-squared</w:t>
            </w:r>
          </w:p>
        </w:tc>
        <w:tc>
          <w:tcPr>
            <w:tcW w:w="992"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ind w:right="20"/>
              <w:jc w:val="right"/>
              <w:rPr>
                <w:rFonts w:ascii="Arial" w:eastAsia="Calibri" w:hAnsi="Arial" w:cs="Arial"/>
                <w:color w:val="000000"/>
                <w:sz w:val="16"/>
                <w:szCs w:val="16"/>
              </w:rPr>
            </w:pPr>
            <w:r w:rsidRPr="003C76BF">
              <w:rPr>
                <w:rFonts w:ascii="Arial" w:eastAsia="Calibri" w:hAnsi="Arial" w:cs="Arial"/>
                <w:color w:val="000000"/>
                <w:sz w:val="16"/>
                <w:szCs w:val="16"/>
              </w:rPr>
              <w:t>0.313814</w:t>
            </w:r>
          </w:p>
        </w:tc>
        <w:tc>
          <w:tcPr>
            <w:tcW w:w="1985" w:type="dxa"/>
            <w:gridSpan w:val="2"/>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ind w:right="20"/>
              <w:rPr>
                <w:rFonts w:ascii="Arial" w:eastAsia="Calibri" w:hAnsi="Arial" w:cs="Arial"/>
                <w:color w:val="000000"/>
                <w:sz w:val="16"/>
                <w:szCs w:val="16"/>
              </w:rPr>
            </w:pPr>
            <w:r w:rsidRPr="003C76BF">
              <w:rPr>
                <w:rFonts w:ascii="Arial" w:eastAsia="Calibri" w:hAnsi="Arial" w:cs="Arial"/>
                <w:color w:val="000000"/>
                <w:sz w:val="16"/>
                <w:szCs w:val="16"/>
              </w:rPr>
              <w:t>    S.D. dependent var</w:t>
            </w:r>
          </w:p>
        </w:tc>
        <w:tc>
          <w:tcPr>
            <w:tcW w:w="992"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ind w:right="20"/>
              <w:jc w:val="right"/>
              <w:rPr>
                <w:rFonts w:ascii="Arial" w:eastAsia="Calibri" w:hAnsi="Arial" w:cs="Arial"/>
                <w:color w:val="000000"/>
                <w:sz w:val="16"/>
                <w:szCs w:val="16"/>
              </w:rPr>
            </w:pPr>
            <w:r w:rsidRPr="003C76BF">
              <w:rPr>
                <w:rFonts w:ascii="Arial" w:eastAsia="Calibri" w:hAnsi="Arial" w:cs="Arial"/>
                <w:color w:val="000000"/>
                <w:sz w:val="16"/>
                <w:szCs w:val="16"/>
              </w:rPr>
              <w:t>1.618064</w:t>
            </w:r>
          </w:p>
        </w:tc>
      </w:tr>
      <w:tr w:rsidR="003C76BF" w:rsidRPr="003C76BF" w:rsidTr="001F6205">
        <w:trPr>
          <w:trHeight w:val="204"/>
          <w:jc w:val="center"/>
        </w:trPr>
        <w:tc>
          <w:tcPr>
            <w:tcW w:w="1569"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rPr>
                <w:rFonts w:ascii="Arial" w:eastAsia="Calibri" w:hAnsi="Arial" w:cs="Arial"/>
                <w:color w:val="000000"/>
                <w:sz w:val="16"/>
                <w:szCs w:val="16"/>
              </w:rPr>
            </w:pPr>
            <w:r w:rsidRPr="003C76BF">
              <w:rPr>
                <w:rFonts w:ascii="Arial" w:eastAsia="Calibri" w:hAnsi="Arial" w:cs="Arial"/>
                <w:color w:val="000000"/>
                <w:sz w:val="16"/>
                <w:szCs w:val="16"/>
              </w:rPr>
              <w:t>S.E. of regression</w:t>
            </w:r>
          </w:p>
        </w:tc>
        <w:tc>
          <w:tcPr>
            <w:tcW w:w="992"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ind w:right="20"/>
              <w:jc w:val="right"/>
              <w:rPr>
                <w:rFonts w:ascii="Arial" w:eastAsia="Calibri" w:hAnsi="Arial" w:cs="Arial"/>
                <w:color w:val="000000"/>
                <w:sz w:val="16"/>
                <w:szCs w:val="16"/>
              </w:rPr>
            </w:pPr>
            <w:r w:rsidRPr="003C76BF">
              <w:rPr>
                <w:rFonts w:ascii="Arial" w:eastAsia="Calibri" w:hAnsi="Arial" w:cs="Arial"/>
                <w:color w:val="000000"/>
                <w:sz w:val="16"/>
                <w:szCs w:val="16"/>
              </w:rPr>
              <w:t>1.340345</w:t>
            </w:r>
          </w:p>
        </w:tc>
        <w:tc>
          <w:tcPr>
            <w:tcW w:w="1985" w:type="dxa"/>
            <w:gridSpan w:val="2"/>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ind w:right="20"/>
              <w:rPr>
                <w:rFonts w:ascii="Arial" w:eastAsia="Calibri" w:hAnsi="Arial" w:cs="Arial"/>
                <w:color w:val="000000"/>
                <w:sz w:val="16"/>
                <w:szCs w:val="16"/>
              </w:rPr>
            </w:pPr>
            <w:r w:rsidRPr="003C76BF">
              <w:rPr>
                <w:rFonts w:ascii="Arial" w:eastAsia="Calibri" w:hAnsi="Arial" w:cs="Arial"/>
                <w:color w:val="000000"/>
                <w:sz w:val="16"/>
                <w:szCs w:val="16"/>
              </w:rPr>
              <w:t>    Akaike info criterion</w:t>
            </w:r>
          </w:p>
        </w:tc>
        <w:tc>
          <w:tcPr>
            <w:tcW w:w="992"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ind w:right="20"/>
              <w:jc w:val="right"/>
              <w:rPr>
                <w:rFonts w:ascii="Arial" w:eastAsia="Calibri" w:hAnsi="Arial" w:cs="Arial"/>
                <w:color w:val="000000"/>
                <w:sz w:val="16"/>
                <w:szCs w:val="16"/>
              </w:rPr>
            </w:pPr>
            <w:r w:rsidRPr="003C76BF">
              <w:rPr>
                <w:rFonts w:ascii="Arial" w:eastAsia="Calibri" w:hAnsi="Arial" w:cs="Arial"/>
                <w:color w:val="000000"/>
                <w:sz w:val="16"/>
                <w:szCs w:val="16"/>
              </w:rPr>
              <w:t>3.544469</w:t>
            </w:r>
          </w:p>
        </w:tc>
      </w:tr>
      <w:tr w:rsidR="003C76BF" w:rsidRPr="003C76BF" w:rsidTr="001F6205">
        <w:trPr>
          <w:trHeight w:val="204"/>
          <w:jc w:val="center"/>
        </w:trPr>
        <w:tc>
          <w:tcPr>
            <w:tcW w:w="1569"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rPr>
                <w:rFonts w:ascii="Arial" w:eastAsia="Calibri" w:hAnsi="Arial" w:cs="Arial"/>
                <w:color w:val="000000"/>
                <w:sz w:val="16"/>
                <w:szCs w:val="16"/>
              </w:rPr>
            </w:pPr>
            <w:r w:rsidRPr="003C76BF">
              <w:rPr>
                <w:rFonts w:ascii="Arial" w:eastAsia="Calibri" w:hAnsi="Arial" w:cs="Arial"/>
                <w:color w:val="000000"/>
                <w:sz w:val="16"/>
                <w:szCs w:val="16"/>
              </w:rPr>
              <w:t>Sum squared resid</w:t>
            </w:r>
          </w:p>
        </w:tc>
        <w:tc>
          <w:tcPr>
            <w:tcW w:w="992"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ind w:right="20"/>
              <w:jc w:val="right"/>
              <w:rPr>
                <w:rFonts w:ascii="Arial" w:eastAsia="Calibri" w:hAnsi="Arial" w:cs="Arial"/>
                <w:color w:val="000000"/>
                <w:sz w:val="16"/>
                <w:szCs w:val="16"/>
              </w:rPr>
            </w:pPr>
            <w:r w:rsidRPr="003C76BF">
              <w:rPr>
                <w:rFonts w:ascii="Arial" w:eastAsia="Calibri" w:hAnsi="Arial" w:cs="Arial"/>
                <w:color w:val="000000"/>
                <w:sz w:val="16"/>
                <w:szCs w:val="16"/>
              </w:rPr>
              <w:t>156.2976</w:t>
            </w:r>
          </w:p>
        </w:tc>
        <w:tc>
          <w:tcPr>
            <w:tcW w:w="1985" w:type="dxa"/>
            <w:gridSpan w:val="2"/>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ind w:right="20"/>
              <w:rPr>
                <w:rFonts w:ascii="Arial" w:eastAsia="Calibri" w:hAnsi="Arial" w:cs="Arial"/>
                <w:color w:val="000000"/>
                <w:sz w:val="16"/>
                <w:szCs w:val="16"/>
              </w:rPr>
            </w:pPr>
            <w:r w:rsidRPr="003C76BF">
              <w:rPr>
                <w:rFonts w:ascii="Arial" w:eastAsia="Calibri" w:hAnsi="Arial" w:cs="Arial"/>
                <w:color w:val="000000"/>
                <w:sz w:val="16"/>
                <w:szCs w:val="16"/>
              </w:rPr>
              <w:t>    Schwarz criterion</w:t>
            </w:r>
          </w:p>
        </w:tc>
        <w:tc>
          <w:tcPr>
            <w:tcW w:w="992"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ind w:right="20"/>
              <w:jc w:val="right"/>
              <w:rPr>
                <w:rFonts w:ascii="Arial" w:eastAsia="Calibri" w:hAnsi="Arial" w:cs="Arial"/>
                <w:color w:val="000000"/>
                <w:sz w:val="16"/>
                <w:szCs w:val="16"/>
              </w:rPr>
            </w:pPr>
            <w:r w:rsidRPr="003C76BF">
              <w:rPr>
                <w:rFonts w:ascii="Arial" w:eastAsia="Calibri" w:hAnsi="Arial" w:cs="Arial"/>
                <w:color w:val="000000"/>
                <w:sz w:val="16"/>
                <w:szCs w:val="16"/>
              </w:rPr>
              <w:t>3.883141</w:t>
            </w:r>
          </w:p>
        </w:tc>
      </w:tr>
      <w:tr w:rsidR="003C76BF" w:rsidRPr="003C76BF" w:rsidTr="001F6205">
        <w:trPr>
          <w:trHeight w:val="204"/>
          <w:jc w:val="center"/>
        </w:trPr>
        <w:tc>
          <w:tcPr>
            <w:tcW w:w="1569"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rPr>
                <w:rFonts w:ascii="Arial" w:eastAsia="Calibri" w:hAnsi="Arial" w:cs="Arial"/>
                <w:color w:val="000000"/>
                <w:sz w:val="16"/>
                <w:szCs w:val="16"/>
              </w:rPr>
            </w:pPr>
            <w:r w:rsidRPr="003C76BF">
              <w:rPr>
                <w:rFonts w:ascii="Arial" w:eastAsia="Calibri" w:hAnsi="Arial" w:cs="Arial"/>
                <w:color w:val="000000"/>
                <w:sz w:val="16"/>
                <w:szCs w:val="16"/>
              </w:rPr>
              <w:t>Log likelihood</w:t>
            </w:r>
          </w:p>
        </w:tc>
        <w:tc>
          <w:tcPr>
            <w:tcW w:w="992"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ind w:right="20"/>
              <w:jc w:val="right"/>
              <w:rPr>
                <w:rFonts w:ascii="Arial" w:eastAsia="Calibri" w:hAnsi="Arial" w:cs="Arial"/>
                <w:color w:val="000000"/>
                <w:sz w:val="16"/>
                <w:szCs w:val="16"/>
              </w:rPr>
            </w:pPr>
            <w:r w:rsidRPr="003C76BF">
              <w:rPr>
                <w:rFonts w:ascii="Arial" w:eastAsia="Calibri" w:hAnsi="Arial" w:cs="Arial"/>
                <w:color w:val="000000"/>
                <w:sz w:val="16"/>
                <w:szCs w:val="16"/>
              </w:rPr>
              <w:t>-164.2235</w:t>
            </w:r>
          </w:p>
        </w:tc>
        <w:tc>
          <w:tcPr>
            <w:tcW w:w="1985" w:type="dxa"/>
            <w:gridSpan w:val="2"/>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ind w:right="20"/>
              <w:rPr>
                <w:rFonts w:ascii="Arial" w:eastAsia="Calibri" w:hAnsi="Arial" w:cs="Arial"/>
                <w:color w:val="000000"/>
                <w:sz w:val="16"/>
                <w:szCs w:val="16"/>
              </w:rPr>
            </w:pPr>
            <w:r w:rsidRPr="003C76BF">
              <w:rPr>
                <w:rFonts w:ascii="Arial" w:eastAsia="Calibri" w:hAnsi="Arial" w:cs="Arial"/>
                <w:color w:val="000000"/>
                <w:sz w:val="16"/>
                <w:szCs w:val="16"/>
              </w:rPr>
              <w:t>    Hannan-Quinn criter.</w:t>
            </w:r>
          </w:p>
        </w:tc>
        <w:tc>
          <w:tcPr>
            <w:tcW w:w="992"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ind w:right="20"/>
              <w:jc w:val="right"/>
              <w:rPr>
                <w:rFonts w:ascii="Arial" w:eastAsia="Calibri" w:hAnsi="Arial" w:cs="Arial"/>
                <w:color w:val="000000"/>
                <w:sz w:val="16"/>
                <w:szCs w:val="16"/>
              </w:rPr>
            </w:pPr>
            <w:r w:rsidRPr="003C76BF">
              <w:rPr>
                <w:rFonts w:ascii="Arial" w:eastAsia="Calibri" w:hAnsi="Arial" w:cs="Arial"/>
                <w:color w:val="000000"/>
                <w:sz w:val="16"/>
                <w:szCs w:val="16"/>
              </w:rPr>
              <w:t>3.681536</w:t>
            </w:r>
          </w:p>
        </w:tc>
      </w:tr>
      <w:tr w:rsidR="003C76BF" w:rsidRPr="003C76BF" w:rsidTr="001F6205">
        <w:trPr>
          <w:trHeight w:val="204"/>
          <w:jc w:val="center"/>
        </w:trPr>
        <w:tc>
          <w:tcPr>
            <w:tcW w:w="1569"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rPr>
                <w:rFonts w:ascii="Arial" w:eastAsia="Calibri" w:hAnsi="Arial" w:cs="Arial"/>
                <w:color w:val="000000"/>
                <w:sz w:val="16"/>
                <w:szCs w:val="16"/>
              </w:rPr>
            </w:pPr>
            <w:r w:rsidRPr="003C76BF">
              <w:rPr>
                <w:rFonts w:ascii="Arial" w:eastAsia="Calibri" w:hAnsi="Arial" w:cs="Arial"/>
                <w:color w:val="000000"/>
                <w:sz w:val="16"/>
                <w:szCs w:val="16"/>
              </w:rPr>
              <w:t>F-statistic</w:t>
            </w:r>
          </w:p>
        </w:tc>
        <w:tc>
          <w:tcPr>
            <w:tcW w:w="992"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ind w:right="20"/>
              <w:jc w:val="right"/>
              <w:rPr>
                <w:rFonts w:ascii="Arial" w:eastAsia="Calibri" w:hAnsi="Arial" w:cs="Arial"/>
                <w:color w:val="000000"/>
                <w:sz w:val="16"/>
                <w:szCs w:val="16"/>
              </w:rPr>
            </w:pPr>
            <w:r w:rsidRPr="003C76BF">
              <w:rPr>
                <w:rFonts w:ascii="Arial" w:eastAsia="Calibri" w:hAnsi="Arial" w:cs="Arial"/>
                <w:color w:val="000000"/>
                <w:sz w:val="16"/>
                <w:szCs w:val="16"/>
              </w:rPr>
              <w:t>4.772987</w:t>
            </w:r>
          </w:p>
        </w:tc>
        <w:tc>
          <w:tcPr>
            <w:tcW w:w="1985" w:type="dxa"/>
            <w:gridSpan w:val="2"/>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ind w:right="20"/>
              <w:rPr>
                <w:rFonts w:ascii="Arial" w:eastAsia="Calibri" w:hAnsi="Arial" w:cs="Arial"/>
                <w:color w:val="000000"/>
                <w:sz w:val="16"/>
                <w:szCs w:val="16"/>
              </w:rPr>
            </w:pPr>
            <w:r w:rsidRPr="003C76BF">
              <w:rPr>
                <w:rFonts w:ascii="Arial" w:eastAsia="Calibri" w:hAnsi="Arial" w:cs="Arial"/>
                <w:color w:val="000000"/>
                <w:sz w:val="16"/>
                <w:szCs w:val="16"/>
              </w:rPr>
              <w:t>    Durbin-Watson stat</w:t>
            </w:r>
          </w:p>
        </w:tc>
        <w:tc>
          <w:tcPr>
            <w:tcW w:w="992"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ind w:right="20"/>
              <w:jc w:val="right"/>
              <w:rPr>
                <w:rFonts w:ascii="Arial" w:eastAsia="Calibri" w:hAnsi="Arial" w:cs="Arial"/>
                <w:color w:val="000000"/>
                <w:sz w:val="16"/>
                <w:szCs w:val="16"/>
              </w:rPr>
            </w:pPr>
            <w:r w:rsidRPr="003C76BF">
              <w:rPr>
                <w:rFonts w:ascii="Arial" w:eastAsia="Calibri" w:hAnsi="Arial" w:cs="Arial"/>
                <w:color w:val="000000"/>
                <w:sz w:val="16"/>
                <w:szCs w:val="16"/>
              </w:rPr>
              <w:t>1.565014</w:t>
            </w:r>
          </w:p>
        </w:tc>
      </w:tr>
      <w:tr w:rsidR="003C76BF" w:rsidRPr="003C76BF" w:rsidTr="001F6205">
        <w:trPr>
          <w:trHeight w:val="204"/>
          <w:jc w:val="center"/>
        </w:trPr>
        <w:tc>
          <w:tcPr>
            <w:tcW w:w="1569"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rPr>
                <w:rFonts w:ascii="Arial" w:eastAsia="Calibri" w:hAnsi="Arial" w:cs="Arial"/>
                <w:color w:val="000000"/>
                <w:sz w:val="16"/>
                <w:szCs w:val="16"/>
              </w:rPr>
            </w:pPr>
            <w:r w:rsidRPr="003C76BF">
              <w:rPr>
                <w:rFonts w:ascii="Arial" w:eastAsia="Calibri" w:hAnsi="Arial" w:cs="Arial"/>
                <w:color w:val="000000"/>
                <w:sz w:val="16"/>
                <w:szCs w:val="16"/>
              </w:rPr>
              <w:t>Prob(F-statistic)</w:t>
            </w:r>
          </w:p>
        </w:tc>
        <w:tc>
          <w:tcPr>
            <w:tcW w:w="992"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ind w:right="20"/>
              <w:jc w:val="right"/>
              <w:rPr>
                <w:rFonts w:ascii="Arial" w:eastAsia="Calibri" w:hAnsi="Arial" w:cs="Arial"/>
                <w:color w:val="000000"/>
                <w:sz w:val="16"/>
                <w:szCs w:val="16"/>
              </w:rPr>
            </w:pPr>
            <w:r w:rsidRPr="003C76BF">
              <w:rPr>
                <w:rFonts w:ascii="Arial" w:eastAsia="Calibri" w:hAnsi="Arial" w:cs="Arial"/>
                <w:color w:val="000000"/>
                <w:sz w:val="16"/>
                <w:szCs w:val="16"/>
              </w:rPr>
              <w:t>0.000006</w:t>
            </w:r>
          </w:p>
        </w:tc>
        <w:tc>
          <w:tcPr>
            <w:tcW w:w="992"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ind w:right="20"/>
              <w:jc w:val="center"/>
              <w:rPr>
                <w:rFonts w:ascii="Arial" w:eastAsia="Calibri" w:hAnsi="Arial" w:cs="Arial"/>
                <w:color w:val="000000"/>
                <w:sz w:val="16"/>
                <w:szCs w:val="16"/>
              </w:rPr>
            </w:pPr>
          </w:p>
        </w:tc>
        <w:tc>
          <w:tcPr>
            <w:tcW w:w="993"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ind w:right="20"/>
              <w:jc w:val="center"/>
              <w:rPr>
                <w:rFonts w:ascii="Arial" w:eastAsia="Calibri" w:hAnsi="Arial" w:cs="Arial"/>
                <w:color w:val="000000"/>
                <w:sz w:val="16"/>
                <w:szCs w:val="16"/>
              </w:rPr>
            </w:pPr>
          </w:p>
        </w:tc>
        <w:tc>
          <w:tcPr>
            <w:tcW w:w="992"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ind w:right="20"/>
              <w:jc w:val="center"/>
              <w:rPr>
                <w:rFonts w:ascii="Arial" w:eastAsia="Calibri" w:hAnsi="Arial" w:cs="Arial"/>
                <w:color w:val="000000"/>
                <w:sz w:val="16"/>
                <w:szCs w:val="16"/>
              </w:rPr>
            </w:pPr>
          </w:p>
        </w:tc>
      </w:tr>
      <w:tr w:rsidR="003C76BF" w:rsidRPr="003C76BF" w:rsidTr="001F6205">
        <w:trPr>
          <w:trHeight w:hRule="exact" w:val="81"/>
          <w:jc w:val="center"/>
        </w:trPr>
        <w:tc>
          <w:tcPr>
            <w:tcW w:w="1569" w:type="dxa"/>
            <w:tcBorders>
              <w:top w:val="nil"/>
              <w:left w:val="nil"/>
              <w:bottom w:val="double" w:sz="6" w:space="0" w:color="auto"/>
              <w:right w:val="nil"/>
            </w:tcBorders>
            <w:vAlign w:val="bottom"/>
          </w:tcPr>
          <w:p w:rsidR="003C76BF" w:rsidRPr="003C76BF" w:rsidRDefault="003C76BF" w:rsidP="003C76BF">
            <w:pPr>
              <w:autoSpaceDE w:val="0"/>
              <w:autoSpaceDN w:val="0"/>
              <w:adjustRightInd w:val="0"/>
              <w:spacing w:after="0" w:line="240" w:lineRule="auto"/>
              <w:jc w:val="center"/>
              <w:rPr>
                <w:rFonts w:ascii="Arial" w:eastAsia="Calibri" w:hAnsi="Arial" w:cs="Arial"/>
                <w:color w:val="000000"/>
                <w:sz w:val="18"/>
                <w:szCs w:val="18"/>
              </w:rPr>
            </w:pPr>
          </w:p>
        </w:tc>
        <w:tc>
          <w:tcPr>
            <w:tcW w:w="992" w:type="dxa"/>
            <w:tcBorders>
              <w:top w:val="nil"/>
              <w:left w:val="nil"/>
              <w:bottom w:val="double" w:sz="6" w:space="0" w:color="auto"/>
              <w:right w:val="nil"/>
            </w:tcBorders>
            <w:vAlign w:val="bottom"/>
          </w:tcPr>
          <w:p w:rsidR="003C76BF" w:rsidRPr="003C76BF" w:rsidRDefault="003C76BF" w:rsidP="003C76BF">
            <w:pPr>
              <w:autoSpaceDE w:val="0"/>
              <w:autoSpaceDN w:val="0"/>
              <w:adjustRightInd w:val="0"/>
              <w:spacing w:after="0" w:line="240" w:lineRule="auto"/>
              <w:jc w:val="center"/>
              <w:rPr>
                <w:rFonts w:ascii="Arial" w:eastAsia="Calibri" w:hAnsi="Arial" w:cs="Arial"/>
                <w:color w:val="000000"/>
                <w:sz w:val="18"/>
                <w:szCs w:val="18"/>
              </w:rPr>
            </w:pPr>
          </w:p>
        </w:tc>
        <w:tc>
          <w:tcPr>
            <w:tcW w:w="992" w:type="dxa"/>
            <w:tcBorders>
              <w:top w:val="nil"/>
              <w:left w:val="nil"/>
              <w:bottom w:val="double" w:sz="6" w:space="0" w:color="auto"/>
              <w:right w:val="nil"/>
            </w:tcBorders>
            <w:vAlign w:val="bottom"/>
          </w:tcPr>
          <w:p w:rsidR="003C76BF" w:rsidRPr="003C76BF" w:rsidRDefault="003C76BF" w:rsidP="003C76BF">
            <w:pPr>
              <w:autoSpaceDE w:val="0"/>
              <w:autoSpaceDN w:val="0"/>
              <w:adjustRightInd w:val="0"/>
              <w:spacing w:after="0" w:line="240" w:lineRule="auto"/>
              <w:jc w:val="center"/>
              <w:rPr>
                <w:rFonts w:ascii="Arial" w:eastAsia="Calibri" w:hAnsi="Arial" w:cs="Arial"/>
                <w:color w:val="000000"/>
                <w:sz w:val="18"/>
                <w:szCs w:val="18"/>
              </w:rPr>
            </w:pPr>
          </w:p>
        </w:tc>
        <w:tc>
          <w:tcPr>
            <w:tcW w:w="993" w:type="dxa"/>
            <w:tcBorders>
              <w:top w:val="nil"/>
              <w:left w:val="nil"/>
              <w:bottom w:val="double" w:sz="6" w:space="0" w:color="auto"/>
              <w:right w:val="nil"/>
            </w:tcBorders>
            <w:vAlign w:val="bottom"/>
          </w:tcPr>
          <w:p w:rsidR="003C76BF" w:rsidRPr="003C76BF" w:rsidRDefault="003C76BF" w:rsidP="003C76BF">
            <w:pPr>
              <w:autoSpaceDE w:val="0"/>
              <w:autoSpaceDN w:val="0"/>
              <w:adjustRightInd w:val="0"/>
              <w:spacing w:after="0" w:line="240" w:lineRule="auto"/>
              <w:jc w:val="center"/>
              <w:rPr>
                <w:rFonts w:ascii="Arial" w:eastAsia="Calibri" w:hAnsi="Arial" w:cs="Arial"/>
                <w:color w:val="000000"/>
                <w:sz w:val="18"/>
                <w:szCs w:val="18"/>
              </w:rPr>
            </w:pPr>
          </w:p>
        </w:tc>
        <w:tc>
          <w:tcPr>
            <w:tcW w:w="992" w:type="dxa"/>
            <w:tcBorders>
              <w:top w:val="nil"/>
              <w:left w:val="nil"/>
              <w:bottom w:val="double" w:sz="6" w:space="0" w:color="auto"/>
              <w:right w:val="nil"/>
            </w:tcBorders>
            <w:vAlign w:val="bottom"/>
          </w:tcPr>
          <w:p w:rsidR="003C76BF" w:rsidRPr="003C76BF" w:rsidRDefault="003C76BF" w:rsidP="003C76BF">
            <w:pPr>
              <w:autoSpaceDE w:val="0"/>
              <w:autoSpaceDN w:val="0"/>
              <w:adjustRightInd w:val="0"/>
              <w:spacing w:after="0" w:line="240" w:lineRule="auto"/>
              <w:jc w:val="center"/>
              <w:rPr>
                <w:rFonts w:ascii="Arial" w:eastAsia="Calibri" w:hAnsi="Arial" w:cs="Arial"/>
                <w:color w:val="000000"/>
                <w:sz w:val="18"/>
                <w:szCs w:val="18"/>
              </w:rPr>
            </w:pPr>
          </w:p>
        </w:tc>
      </w:tr>
      <w:tr w:rsidR="003C76BF" w:rsidRPr="003C76BF" w:rsidTr="001F6205">
        <w:trPr>
          <w:trHeight w:hRule="exact" w:val="122"/>
          <w:jc w:val="center"/>
        </w:trPr>
        <w:tc>
          <w:tcPr>
            <w:tcW w:w="1569"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jc w:val="center"/>
              <w:rPr>
                <w:rFonts w:ascii="Arial" w:eastAsia="Calibri" w:hAnsi="Arial" w:cs="Arial"/>
                <w:color w:val="000000"/>
                <w:sz w:val="18"/>
                <w:szCs w:val="18"/>
              </w:rPr>
            </w:pPr>
          </w:p>
        </w:tc>
        <w:tc>
          <w:tcPr>
            <w:tcW w:w="992"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jc w:val="center"/>
              <w:rPr>
                <w:rFonts w:ascii="Arial" w:eastAsia="Calibri" w:hAnsi="Arial" w:cs="Arial"/>
                <w:color w:val="000000"/>
                <w:sz w:val="18"/>
                <w:szCs w:val="18"/>
              </w:rPr>
            </w:pPr>
          </w:p>
        </w:tc>
        <w:tc>
          <w:tcPr>
            <w:tcW w:w="992"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jc w:val="center"/>
              <w:rPr>
                <w:rFonts w:ascii="Arial" w:eastAsia="Calibri" w:hAnsi="Arial" w:cs="Arial"/>
                <w:color w:val="000000"/>
                <w:sz w:val="18"/>
                <w:szCs w:val="18"/>
              </w:rPr>
            </w:pPr>
          </w:p>
        </w:tc>
        <w:tc>
          <w:tcPr>
            <w:tcW w:w="993"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jc w:val="center"/>
              <w:rPr>
                <w:rFonts w:ascii="Arial" w:eastAsia="Calibri" w:hAnsi="Arial" w:cs="Arial"/>
                <w:color w:val="000000"/>
                <w:sz w:val="18"/>
                <w:szCs w:val="18"/>
              </w:rPr>
            </w:pPr>
          </w:p>
        </w:tc>
        <w:tc>
          <w:tcPr>
            <w:tcW w:w="992" w:type="dxa"/>
            <w:tcBorders>
              <w:top w:val="nil"/>
              <w:left w:val="nil"/>
              <w:bottom w:val="nil"/>
              <w:right w:val="nil"/>
            </w:tcBorders>
            <w:vAlign w:val="bottom"/>
          </w:tcPr>
          <w:p w:rsidR="003C76BF" w:rsidRPr="003C76BF" w:rsidRDefault="003C76BF" w:rsidP="003C76BF">
            <w:pPr>
              <w:autoSpaceDE w:val="0"/>
              <w:autoSpaceDN w:val="0"/>
              <w:adjustRightInd w:val="0"/>
              <w:spacing w:after="0" w:line="240" w:lineRule="auto"/>
              <w:jc w:val="center"/>
              <w:rPr>
                <w:rFonts w:ascii="Arial" w:eastAsia="Calibri" w:hAnsi="Arial" w:cs="Arial"/>
                <w:color w:val="000000"/>
                <w:sz w:val="18"/>
                <w:szCs w:val="18"/>
              </w:rPr>
            </w:pPr>
          </w:p>
        </w:tc>
      </w:tr>
    </w:tbl>
    <w:p w:rsidR="0038204A" w:rsidRDefault="0038204A" w:rsidP="0038204A">
      <w:pPr>
        <w:tabs>
          <w:tab w:val="left" w:pos="1755"/>
        </w:tabs>
        <w:spacing w:after="0"/>
        <w:jc w:val="both"/>
      </w:pPr>
      <w:r>
        <w:t xml:space="preserve">Sesuai dengan hasil ringkasan hasil pengujian hipotesis diperoleh nilai R-square sebesar 0.396. Nilai koefisien tersebut menunjukan upah minimum provinsi, pertumbuahan ekonomi dan inflasi hanya mampu memberikan variasi kontribusi dalam mempengaruhi perubahan pengangguran pada sepuluh provinsi di Pulau Sumatera sebesar 39,60% sedangkan sisanya sebesar 60,40% lagi dipengaruhi oleh variabel lain yang belum digunakan dalam penelitian saat ini. Selain itu pada ringkasan hasil pengujian hipotesis diperoleh nilai F-statistik diperoleh nilai F-hitung sebesar 4,773. Proses pengolahan data dilakukan dengan menggunakan tingkat kesalahan sebesar 0,05 diperoleh nilai df1 = ( k – 1) atau (4 – 1 = 3) dan df2 (n – k) atau (100 – 4 = 96) diperoleh nilai F-hitung sebesar 2,70. Hasil yang diperoleh menunjukan nilai F-hitung 4,773 &gt; F-tabel 2,70. Maka keputusannya adalah Ho </w:t>
      </w:r>
      <w:r>
        <w:lastRenderedPageBreak/>
        <w:t>ditolak dan Ha diterima sehingga dapat disimpulkan upah minimum provinsi, pertumbuhan ekonomi dan inflasi berpengaruh signifikan terhadap pengangguran pada sepuluh provinsi di Pulau Sumatera.</w:t>
      </w:r>
    </w:p>
    <w:p w:rsidR="0038204A" w:rsidRDefault="0038204A" w:rsidP="0038204A">
      <w:pPr>
        <w:tabs>
          <w:tab w:val="left" w:pos="1755"/>
        </w:tabs>
        <w:spacing w:after="0"/>
        <w:jc w:val="both"/>
      </w:pPr>
    </w:p>
    <w:p w:rsidR="0038204A" w:rsidRPr="007D7E3F" w:rsidRDefault="0038204A" w:rsidP="0038204A">
      <w:pPr>
        <w:tabs>
          <w:tab w:val="left" w:pos="1755"/>
        </w:tabs>
        <w:spacing w:after="0"/>
        <w:jc w:val="both"/>
        <w:rPr>
          <w:b/>
        </w:rPr>
      </w:pPr>
      <w:r w:rsidRPr="007D7E3F">
        <w:rPr>
          <w:b/>
        </w:rPr>
        <w:t>KESIMPULAN DAN SARAN</w:t>
      </w:r>
    </w:p>
    <w:p w:rsidR="0038204A" w:rsidRDefault="0038204A" w:rsidP="0038204A">
      <w:pPr>
        <w:tabs>
          <w:tab w:val="left" w:pos="1755"/>
        </w:tabs>
        <w:spacing w:after="0"/>
        <w:jc w:val="both"/>
      </w:pPr>
      <w:r w:rsidRPr="0038204A">
        <w:t>Sesuai dengan uraian analisis dan pembahasan hasil pengujian hipotesis yang</w:t>
      </w:r>
      <w:r>
        <w:t xml:space="preserve"> pertama </w:t>
      </w:r>
      <w:r w:rsidRPr="0038204A">
        <w:t>menemukan bahwa upah minimum provinsi (UMP) memiliki koefisien regresi bertanda positif sebesar 0,988 yang dibuktikan secara statistik mel</w:t>
      </w:r>
      <w:r w:rsidR="001F1E18">
        <w:t xml:space="preserve">alui uji t-hiung sebesar 2,077, </w:t>
      </w:r>
      <w:r w:rsidRPr="0038204A">
        <w:t>Maka dapat disimpulkan upah minimum provinsi berpengaruh positif terhadap pengangguran pada 10 provinsi di Pulau Sumatera</w:t>
      </w:r>
      <w:r>
        <w:t xml:space="preserve">. </w:t>
      </w:r>
      <w:r w:rsidR="001F1E18">
        <w:t xml:space="preserve">Hasil </w:t>
      </w:r>
      <w:r w:rsidR="001F1E18" w:rsidRPr="001F1E18">
        <w:t>pengujian hipotesis kedua dengan menggun</w:t>
      </w:r>
      <w:r w:rsidR="001F1E18">
        <w:t>akan variabel pertumbuhan ekonom</w:t>
      </w:r>
      <w:r w:rsidR="001F1E18" w:rsidRPr="001F1E18">
        <w:t>i diketahui nilai koefisien regresi dari variabel tersebut bertanda negatif sebesar 0.569</w:t>
      </w:r>
      <w:r w:rsidR="001F1E18">
        <w:t>,</w:t>
      </w:r>
      <w:r w:rsidR="001F1E18" w:rsidRPr="001F1E18">
        <w:t xml:space="preserve"> Maka dapat disimpulkan pertumbuhan ekonomi berpengaruh negatif dan signifikan terhadap pengangguran pada 10 provinsi di Pulau Sumatera.</w:t>
      </w:r>
      <w:r w:rsidR="001F1E18">
        <w:t xml:space="preserve"> H</w:t>
      </w:r>
      <w:r w:rsidR="001F1E18" w:rsidRPr="001F1E18">
        <w:t>asil pengujian hipotesis ketiga dengan menggunakan variabel inflasi diketahui nilai koefisien regresi dari variabel tersebut</w:t>
      </w:r>
      <w:r w:rsidR="001F1E18">
        <w:t xml:space="preserve"> bertanda positif sebesar 0,149, </w:t>
      </w:r>
      <w:r w:rsidR="001F1E18" w:rsidRPr="001F1E18">
        <w:t>Maka dapat disimpulkan inflasi tidak berpengaruh signifikan terhadap pengangguran pada 10 provinsi di Pulau Sumatera</w:t>
      </w:r>
      <w:r w:rsidR="001F1E18">
        <w:t>.</w:t>
      </w:r>
    </w:p>
    <w:p w:rsidR="008241F1" w:rsidRDefault="001F1E18" w:rsidP="00BC1939">
      <w:pPr>
        <w:tabs>
          <w:tab w:val="left" w:pos="1755"/>
        </w:tabs>
        <w:jc w:val="both"/>
      </w:pPr>
      <w:r w:rsidRPr="001F1E18">
        <w:t>Sesuai dengan uraian kesimpulan yang telah dijelaskan maka diajukan beberapa saran</w:t>
      </w:r>
      <w:r>
        <w:t xml:space="preserve"> bagi pemerintah daerah</w:t>
      </w:r>
      <w:r w:rsidRPr="001F1E18">
        <w:t xml:space="preserve"> untuk terus menyesuaikan Upah Minimum Provinsi dengan kenaikan harga kebutuhan pokok, sehingga dapat meningkatkan kesejahteraan masyarakat di sepuluh Provinsi di Pulau Sumatera</w:t>
      </w:r>
      <w:r w:rsidR="00876D87">
        <w:t xml:space="preserve">, dan pemerintah daerah </w:t>
      </w:r>
      <w:r w:rsidR="00876D87" w:rsidRPr="00876D87">
        <w:t xml:space="preserve">disarankan untuk menyediakan anggaran untuk mengembangkan lapangan kerja baru guna menurun angka pengangguran, langkah tersebut dilakukan dengan, memberdayakan usaha berskala mikro serta membuka </w:t>
      </w:r>
      <w:r w:rsidR="00876D87" w:rsidRPr="00876D87">
        <w:lastRenderedPageBreak/>
        <w:t>investasi dan p</w:t>
      </w:r>
      <w:r w:rsidR="00876D87">
        <w:t>engembangan kawasan aglomerasi u</w:t>
      </w:r>
      <w:r w:rsidR="00876D87" w:rsidRPr="00876D87">
        <w:t>ntuk meningkatkan kesempatan kerja atau mengurangi angka pengangguran</w:t>
      </w:r>
      <w:r w:rsidR="00876D87">
        <w:t>.</w:t>
      </w:r>
    </w:p>
    <w:p w:rsidR="00876D87" w:rsidRPr="007D7E3F" w:rsidRDefault="00876D87" w:rsidP="007D7E3F">
      <w:pPr>
        <w:tabs>
          <w:tab w:val="left" w:pos="1755"/>
        </w:tabs>
        <w:spacing w:after="0"/>
        <w:jc w:val="both"/>
        <w:rPr>
          <w:b/>
        </w:rPr>
      </w:pPr>
      <w:r w:rsidRPr="007D7E3F">
        <w:rPr>
          <w:b/>
        </w:rPr>
        <w:t>DAFTAR PUSTAKA</w:t>
      </w:r>
    </w:p>
    <w:p w:rsidR="005F28C6" w:rsidRDefault="005F28C6" w:rsidP="007D7E3F">
      <w:pPr>
        <w:tabs>
          <w:tab w:val="left" w:pos="1755"/>
        </w:tabs>
        <w:spacing w:after="0"/>
        <w:ind w:left="330" w:hanging="330"/>
        <w:jc w:val="both"/>
        <w:rPr>
          <w:rFonts w:ascii="Times New Roman" w:hAnsi="Times New Roman" w:cs="Times New Roman"/>
          <w:sz w:val="24"/>
          <w:szCs w:val="24"/>
        </w:rPr>
      </w:pPr>
      <w:r w:rsidRPr="002257AB">
        <w:rPr>
          <w:rFonts w:ascii="Times New Roman" w:hAnsi="Times New Roman" w:cs="Times New Roman"/>
          <w:sz w:val="24"/>
          <w:szCs w:val="24"/>
        </w:rPr>
        <w:t>Aditya Barry Kurniawan, 2014</w:t>
      </w:r>
      <w:r w:rsidRPr="002257AB">
        <w:rPr>
          <w:rFonts w:ascii="Times New Roman" w:hAnsi="Times New Roman" w:cs="Times New Roman"/>
          <w:i/>
          <w:sz w:val="24"/>
          <w:szCs w:val="24"/>
        </w:rPr>
        <w:t>. Analisis Pen</w:t>
      </w:r>
      <w:r>
        <w:rPr>
          <w:rFonts w:ascii="Times New Roman" w:hAnsi="Times New Roman" w:cs="Times New Roman"/>
          <w:i/>
          <w:sz w:val="24"/>
          <w:szCs w:val="24"/>
        </w:rPr>
        <w:t xml:space="preserve">garuh Pertumbuhan Ekonomi, Upah </w:t>
      </w:r>
      <w:r w:rsidRPr="002257AB">
        <w:rPr>
          <w:rFonts w:ascii="Times New Roman" w:hAnsi="Times New Roman" w:cs="Times New Roman"/>
          <w:i/>
          <w:sz w:val="24"/>
          <w:szCs w:val="24"/>
        </w:rPr>
        <w:t xml:space="preserve">Minimum dan Investasi Terhadap Jumlah Pengangguran di Kabupaten Gresik. </w:t>
      </w:r>
      <w:r w:rsidRPr="002257AB">
        <w:rPr>
          <w:rFonts w:ascii="Times New Roman" w:hAnsi="Times New Roman" w:cs="Times New Roman"/>
          <w:sz w:val="24"/>
          <w:szCs w:val="24"/>
        </w:rPr>
        <w:t>Jurnal Ilmiah Mahasiswa (Fakultas Ekonomi dan Bisnis universitas Brawijaya Malang)</w:t>
      </w:r>
    </w:p>
    <w:p w:rsidR="005F28C6" w:rsidRDefault="005F28C6" w:rsidP="007D7E3F">
      <w:pPr>
        <w:spacing w:after="0" w:line="240" w:lineRule="auto"/>
        <w:ind w:left="330" w:hanging="330"/>
        <w:jc w:val="both"/>
        <w:rPr>
          <w:rFonts w:ascii="Times New Roman" w:hAnsi="Times New Roman" w:cs="Times New Roman"/>
          <w:sz w:val="24"/>
          <w:szCs w:val="24"/>
        </w:rPr>
      </w:pPr>
      <w:r w:rsidRPr="002257AB">
        <w:rPr>
          <w:rFonts w:ascii="Times New Roman" w:hAnsi="Times New Roman" w:cs="Times New Roman"/>
          <w:sz w:val="24"/>
          <w:szCs w:val="24"/>
        </w:rPr>
        <w:t xml:space="preserve">Fajar Wahyu Utomo, 2016. </w:t>
      </w:r>
      <w:r w:rsidRPr="002257AB">
        <w:rPr>
          <w:rFonts w:ascii="Times New Roman" w:hAnsi="Times New Roman" w:cs="Times New Roman"/>
          <w:i/>
          <w:sz w:val="24"/>
          <w:szCs w:val="24"/>
        </w:rPr>
        <w:t>Pengaruh Inflasi dan Upah Terhadap Pengangguran di Indonesia Periode Tahun 1980-2010</w:t>
      </w:r>
      <w:r w:rsidRPr="002257AB">
        <w:rPr>
          <w:rFonts w:ascii="Times New Roman" w:hAnsi="Times New Roman" w:cs="Times New Roman"/>
          <w:sz w:val="24"/>
          <w:szCs w:val="24"/>
        </w:rPr>
        <w:t>. Jurnal Ilmiah Mahasiswa (Fakultas Ekonomi dan Bisnis Universitas Brawijaya Malang)</w:t>
      </w:r>
    </w:p>
    <w:p w:rsidR="005F28C6" w:rsidRDefault="005F28C6" w:rsidP="007D7E3F">
      <w:pPr>
        <w:tabs>
          <w:tab w:val="left" w:pos="1755"/>
        </w:tabs>
        <w:spacing w:after="0"/>
        <w:ind w:left="330" w:hanging="330"/>
        <w:jc w:val="both"/>
        <w:rPr>
          <w:rFonts w:ascii="Times New Roman" w:hAnsi="Times New Roman" w:cs="Times New Roman"/>
          <w:sz w:val="24"/>
          <w:szCs w:val="24"/>
        </w:rPr>
      </w:pPr>
      <w:r w:rsidRPr="002257AB">
        <w:rPr>
          <w:rFonts w:ascii="Times New Roman" w:hAnsi="Times New Roman" w:cs="Times New Roman"/>
          <w:sz w:val="24"/>
          <w:szCs w:val="24"/>
        </w:rPr>
        <w:t>Fatma Ratna Ningsih, 2010</w:t>
      </w:r>
      <w:r w:rsidRPr="002257AB">
        <w:rPr>
          <w:rFonts w:ascii="Times New Roman" w:hAnsi="Times New Roman" w:cs="Times New Roman"/>
          <w:i/>
          <w:sz w:val="24"/>
          <w:szCs w:val="24"/>
        </w:rPr>
        <w:t>. Pengaruh Inflasi dan Pertumbuhan Ekonomi Terhadap Pengangguran di Indonesia.</w:t>
      </w:r>
      <w:r w:rsidRPr="002257AB">
        <w:rPr>
          <w:rFonts w:ascii="Times New Roman" w:hAnsi="Times New Roman" w:cs="Times New Roman"/>
          <w:sz w:val="24"/>
          <w:szCs w:val="24"/>
        </w:rPr>
        <w:t xml:space="preserve"> Periode tahun 1998-2008.</w:t>
      </w:r>
      <w:r w:rsidRPr="002257AB">
        <w:rPr>
          <w:rFonts w:ascii="Times New Roman" w:hAnsi="Times New Roman" w:cs="Times New Roman"/>
          <w:i/>
          <w:sz w:val="24"/>
          <w:szCs w:val="24"/>
        </w:rPr>
        <w:t xml:space="preserve"> </w:t>
      </w:r>
      <w:r w:rsidRPr="002257AB">
        <w:rPr>
          <w:rFonts w:ascii="Times New Roman" w:hAnsi="Times New Roman" w:cs="Times New Roman"/>
          <w:sz w:val="24"/>
          <w:szCs w:val="24"/>
        </w:rPr>
        <w:t>Jurnal (Jakarta: Fak. Ekonomi dan Bisnis Islam Negeri Syarif Hidayatullah)</w:t>
      </w:r>
    </w:p>
    <w:p w:rsidR="005F28C6" w:rsidRDefault="005F28C6" w:rsidP="007D7E3F">
      <w:pPr>
        <w:tabs>
          <w:tab w:val="left" w:pos="1755"/>
        </w:tabs>
        <w:spacing w:after="0"/>
        <w:ind w:left="330" w:hanging="330"/>
        <w:jc w:val="both"/>
      </w:pPr>
      <w:r w:rsidRPr="002257AB">
        <w:rPr>
          <w:rFonts w:ascii="Times New Roman" w:hAnsi="Times New Roman" w:cs="Times New Roman"/>
          <w:sz w:val="24"/>
          <w:szCs w:val="24"/>
        </w:rPr>
        <w:t xml:space="preserve">Hadi sasana. 2009. </w:t>
      </w:r>
      <w:r w:rsidRPr="002257AB">
        <w:rPr>
          <w:rFonts w:ascii="Times New Roman" w:hAnsi="Times New Roman" w:cs="Times New Roman"/>
          <w:i/>
          <w:sz w:val="24"/>
          <w:szCs w:val="24"/>
        </w:rPr>
        <w:t>Analisis Dampak Pertumbuhan Ekonomi,Kesenjangan Antar Daerah Tenaga Kerja Terserap Terhadap Kesejahteraan Di Kabupaten/Kota Provinsi Jawa Tengah Dalam Era Desentralisasii Fiskal</w:t>
      </w:r>
      <w:r w:rsidRPr="002257AB">
        <w:rPr>
          <w:rFonts w:ascii="Times New Roman" w:hAnsi="Times New Roman" w:cs="Times New Roman"/>
          <w:sz w:val="24"/>
          <w:szCs w:val="24"/>
        </w:rPr>
        <w:t>. Jurnal bisnis dan ekonomi. Vol. 16. No. 1. Fakultas ekonomi universitas diponegoro. Semarang</w:t>
      </w:r>
    </w:p>
    <w:p w:rsidR="005F28C6" w:rsidRPr="002257AB" w:rsidRDefault="005F28C6" w:rsidP="007D7E3F">
      <w:pPr>
        <w:spacing w:after="0" w:line="240" w:lineRule="auto"/>
        <w:ind w:left="330" w:hanging="330"/>
        <w:jc w:val="both"/>
        <w:rPr>
          <w:rFonts w:ascii="Times New Roman" w:hAnsi="Times New Roman" w:cs="Times New Roman"/>
          <w:sz w:val="24"/>
          <w:szCs w:val="24"/>
        </w:rPr>
      </w:pPr>
      <w:r w:rsidRPr="002257AB">
        <w:rPr>
          <w:rFonts w:ascii="Times New Roman" w:hAnsi="Times New Roman" w:cs="Times New Roman"/>
          <w:sz w:val="24"/>
          <w:szCs w:val="24"/>
        </w:rPr>
        <w:t>Rahardja, Prathama dan Mandala Manurung. 2008. Teori Ekonomi Makro; suatu pengantar. Edisi keempat, Jakarta: Lembaga Penelitian Fakultas Universitas Indonesia</w:t>
      </w:r>
    </w:p>
    <w:sectPr w:rsidR="005F28C6" w:rsidRPr="002257AB" w:rsidSect="00CD2012">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AD2"/>
    <w:rsid w:val="001F1E18"/>
    <w:rsid w:val="0038204A"/>
    <w:rsid w:val="003C76BF"/>
    <w:rsid w:val="003E1944"/>
    <w:rsid w:val="00415E52"/>
    <w:rsid w:val="00543AD2"/>
    <w:rsid w:val="005F28C6"/>
    <w:rsid w:val="007D7E3F"/>
    <w:rsid w:val="008241F1"/>
    <w:rsid w:val="00876C3B"/>
    <w:rsid w:val="00876D87"/>
    <w:rsid w:val="00917199"/>
    <w:rsid w:val="00BC1939"/>
    <w:rsid w:val="00C52338"/>
    <w:rsid w:val="00C85352"/>
    <w:rsid w:val="00CD201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3AD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3A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nurulhuda144@yahoo.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dannysatria020@gam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F292A-DE5E-4039-A13D-435E76DE6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1258</Words>
  <Characters>7175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cp:revision>
  <dcterms:created xsi:type="dcterms:W3CDTF">2008-12-31T22:37:00Z</dcterms:created>
  <dcterms:modified xsi:type="dcterms:W3CDTF">2008-12-31T22:40:00Z</dcterms:modified>
</cp:coreProperties>
</file>