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E8D" w:rsidRDefault="007B3E8D" w:rsidP="0029420A">
      <w:pPr>
        <w:spacing w:after="0" w:line="240" w:lineRule="auto"/>
        <w:jc w:val="center"/>
        <w:rPr>
          <w:rFonts w:ascii="Times New Roman" w:hAnsi="Times New Roman" w:cs="Times New Roman"/>
          <w:b/>
          <w:sz w:val="28"/>
          <w:szCs w:val="28"/>
        </w:rPr>
      </w:pPr>
      <w:r w:rsidRPr="00EC5BBC">
        <w:rPr>
          <w:rFonts w:ascii="Times New Roman" w:hAnsi="Times New Roman" w:cs="Times New Roman"/>
          <w:b/>
          <w:sz w:val="28"/>
          <w:szCs w:val="28"/>
        </w:rPr>
        <w:t>PENGARUH</w:t>
      </w:r>
      <w:r>
        <w:rPr>
          <w:rFonts w:ascii="Times New Roman" w:hAnsi="Times New Roman" w:cs="Times New Roman"/>
          <w:b/>
          <w:sz w:val="28"/>
          <w:szCs w:val="28"/>
        </w:rPr>
        <w:t xml:space="preserve"> IMPLEMENTASI</w:t>
      </w:r>
      <w:r w:rsidRPr="00EC5BBC">
        <w:rPr>
          <w:rFonts w:ascii="Times New Roman" w:hAnsi="Times New Roman" w:cs="Times New Roman"/>
          <w:b/>
          <w:sz w:val="28"/>
          <w:szCs w:val="28"/>
        </w:rPr>
        <w:t xml:space="preserve"> </w:t>
      </w:r>
      <w:r w:rsidRPr="00C72EB7">
        <w:rPr>
          <w:rFonts w:ascii="Times New Roman" w:hAnsi="Times New Roman" w:cs="Times New Roman"/>
          <w:b/>
          <w:i/>
          <w:sz w:val="28"/>
          <w:szCs w:val="28"/>
        </w:rPr>
        <w:t>CORPORATE GOVERNANCE</w:t>
      </w:r>
      <w:r w:rsidRPr="00EC5BBC">
        <w:rPr>
          <w:rFonts w:ascii="Times New Roman" w:hAnsi="Times New Roman" w:cs="Times New Roman"/>
          <w:b/>
          <w:sz w:val="28"/>
          <w:szCs w:val="28"/>
        </w:rPr>
        <w:t xml:space="preserve"> TERHADAP RISIKO INVESTASI </w:t>
      </w:r>
      <w:r>
        <w:rPr>
          <w:rFonts w:ascii="Times New Roman" w:hAnsi="Times New Roman" w:cs="Times New Roman"/>
          <w:b/>
          <w:sz w:val="28"/>
          <w:szCs w:val="28"/>
        </w:rPr>
        <w:t>PADA SAAT PANDEMI COVID 19</w:t>
      </w:r>
    </w:p>
    <w:p w:rsidR="007B3E8D" w:rsidRPr="007B3E8D" w:rsidRDefault="007B3E8D" w:rsidP="0029420A">
      <w:pPr>
        <w:spacing w:after="0" w:line="240" w:lineRule="auto"/>
        <w:jc w:val="center"/>
        <w:rPr>
          <w:rFonts w:ascii="Times New Roman" w:hAnsi="Times New Roman" w:cs="Times New Roman"/>
          <w:b/>
        </w:rPr>
      </w:pPr>
      <w:r w:rsidRPr="007B3E8D">
        <w:rPr>
          <w:rFonts w:ascii="Times New Roman" w:hAnsi="Times New Roman" w:cs="Times New Roman"/>
          <w:b/>
        </w:rPr>
        <w:t>(</w:t>
      </w:r>
      <w:proofErr w:type="spellStart"/>
      <w:r w:rsidRPr="007B3E8D">
        <w:rPr>
          <w:rFonts w:ascii="Times New Roman" w:hAnsi="Times New Roman" w:cs="Times New Roman"/>
          <w:b/>
        </w:rPr>
        <w:t>Pada</w:t>
      </w:r>
      <w:proofErr w:type="spellEnd"/>
      <w:r w:rsidRPr="007B3E8D">
        <w:rPr>
          <w:rFonts w:ascii="Times New Roman" w:hAnsi="Times New Roman" w:cs="Times New Roman"/>
          <w:b/>
        </w:rPr>
        <w:t xml:space="preserve"> Perusahaan </w:t>
      </w:r>
      <w:proofErr w:type="spellStart"/>
      <w:r w:rsidRPr="007B3E8D">
        <w:rPr>
          <w:rFonts w:ascii="Times New Roman" w:hAnsi="Times New Roman" w:cs="Times New Roman"/>
          <w:b/>
        </w:rPr>
        <w:t>Perhotelan</w:t>
      </w:r>
      <w:proofErr w:type="spellEnd"/>
      <w:r w:rsidRPr="007B3E8D">
        <w:rPr>
          <w:rFonts w:ascii="Times New Roman" w:hAnsi="Times New Roman" w:cs="Times New Roman"/>
          <w:b/>
        </w:rPr>
        <w:t xml:space="preserve">, </w:t>
      </w:r>
      <w:proofErr w:type="spellStart"/>
      <w:r w:rsidRPr="007B3E8D">
        <w:rPr>
          <w:rFonts w:ascii="Times New Roman" w:hAnsi="Times New Roman" w:cs="Times New Roman"/>
          <w:b/>
        </w:rPr>
        <w:t>Restoran</w:t>
      </w:r>
      <w:proofErr w:type="spellEnd"/>
      <w:r w:rsidRPr="007B3E8D">
        <w:rPr>
          <w:rFonts w:ascii="Times New Roman" w:hAnsi="Times New Roman" w:cs="Times New Roman"/>
          <w:b/>
        </w:rPr>
        <w:t xml:space="preserve"> </w:t>
      </w:r>
      <w:proofErr w:type="spellStart"/>
      <w:r w:rsidRPr="007B3E8D">
        <w:rPr>
          <w:rFonts w:ascii="Times New Roman" w:hAnsi="Times New Roman" w:cs="Times New Roman"/>
          <w:b/>
        </w:rPr>
        <w:t>dan</w:t>
      </w:r>
      <w:proofErr w:type="spellEnd"/>
      <w:r w:rsidRPr="007B3E8D">
        <w:rPr>
          <w:rFonts w:ascii="Times New Roman" w:hAnsi="Times New Roman" w:cs="Times New Roman"/>
          <w:b/>
        </w:rPr>
        <w:t xml:space="preserve"> </w:t>
      </w:r>
      <w:proofErr w:type="spellStart"/>
      <w:r w:rsidRPr="007B3E8D">
        <w:rPr>
          <w:rFonts w:ascii="Times New Roman" w:hAnsi="Times New Roman" w:cs="Times New Roman"/>
          <w:b/>
        </w:rPr>
        <w:t>Transportasi</w:t>
      </w:r>
      <w:proofErr w:type="spellEnd"/>
      <w:r w:rsidRPr="007B3E8D">
        <w:rPr>
          <w:rFonts w:ascii="Times New Roman" w:hAnsi="Times New Roman" w:cs="Times New Roman"/>
          <w:b/>
        </w:rPr>
        <w:t xml:space="preserve"> di Bursa </w:t>
      </w:r>
      <w:proofErr w:type="spellStart"/>
      <w:r w:rsidRPr="007B3E8D">
        <w:rPr>
          <w:rFonts w:ascii="Times New Roman" w:hAnsi="Times New Roman" w:cs="Times New Roman"/>
          <w:b/>
        </w:rPr>
        <w:t>Efek</w:t>
      </w:r>
      <w:proofErr w:type="spellEnd"/>
      <w:r w:rsidRPr="007B3E8D">
        <w:rPr>
          <w:rFonts w:ascii="Times New Roman" w:hAnsi="Times New Roman" w:cs="Times New Roman"/>
          <w:b/>
        </w:rPr>
        <w:t xml:space="preserve"> Indonesia)</w:t>
      </w:r>
    </w:p>
    <w:p w:rsidR="007B3E8D" w:rsidRDefault="007B3E8D" w:rsidP="0029420A">
      <w:pPr>
        <w:spacing w:after="0" w:line="240" w:lineRule="auto"/>
        <w:jc w:val="center"/>
        <w:rPr>
          <w:rFonts w:ascii="Times New Roman" w:hAnsi="Times New Roman" w:cs="Times New Roman"/>
          <w:b/>
          <w:sz w:val="20"/>
          <w:szCs w:val="20"/>
        </w:rPr>
      </w:pPr>
    </w:p>
    <w:p w:rsidR="007B3E8D" w:rsidRPr="0029420A" w:rsidRDefault="007B3E8D" w:rsidP="0029420A">
      <w:pPr>
        <w:spacing w:after="0" w:line="240" w:lineRule="auto"/>
        <w:jc w:val="center"/>
        <w:rPr>
          <w:rFonts w:ascii="Times New Roman" w:hAnsi="Times New Roman" w:cs="Times New Roman"/>
          <w:b/>
          <w:sz w:val="24"/>
          <w:szCs w:val="24"/>
        </w:rPr>
      </w:pPr>
      <w:r w:rsidRPr="0029420A">
        <w:rPr>
          <w:rFonts w:ascii="Times New Roman" w:hAnsi="Times New Roman" w:cs="Times New Roman"/>
          <w:b/>
          <w:sz w:val="24"/>
          <w:szCs w:val="24"/>
        </w:rPr>
        <w:t>Rionaldi</w:t>
      </w:r>
      <w:r w:rsidRPr="0029420A">
        <w:rPr>
          <w:rFonts w:ascii="Times New Roman" w:hAnsi="Times New Roman" w:cs="Times New Roman"/>
          <w:b/>
          <w:sz w:val="24"/>
          <w:szCs w:val="24"/>
          <w:vertAlign w:val="superscript"/>
        </w:rPr>
        <w:t>1</w:t>
      </w:r>
      <w:r w:rsidRPr="0029420A">
        <w:rPr>
          <w:rFonts w:ascii="Times New Roman" w:hAnsi="Times New Roman" w:cs="Times New Roman"/>
          <w:b/>
          <w:sz w:val="24"/>
          <w:szCs w:val="24"/>
        </w:rPr>
        <w:t xml:space="preserve"> &amp; Zaitul</w:t>
      </w:r>
      <w:r w:rsidR="00F41AFE" w:rsidRPr="00F41AFE">
        <w:rPr>
          <w:rFonts w:ascii="Times New Roman" w:hAnsi="Times New Roman" w:cs="Times New Roman"/>
          <w:b/>
          <w:sz w:val="24"/>
          <w:szCs w:val="24"/>
          <w:vertAlign w:val="superscript"/>
        </w:rPr>
        <w:t>2</w:t>
      </w:r>
      <w:bookmarkStart w:id="0" w:name="_GoBack"/>
      <w:bookmarkEnd w:id="0"/>
    </w:p>
    <w:p w:rsidR="007B3E8D" w:rsidRPr="0029420A" w:rsidRDefault="007B3E8D" w:rsidP="0029420A">
      <w:pPr>
        <w:spacing w:after="0" w:line="240" w:lineRule="auto"/>
        <w:jc w:val="center"/>
        <w:rPr>
          <w:rFonts w:ascii="Times New Roman" w:hAnsi="Times New Roman" w:cs="Times New Roman"/>
          <w:sz w:val="24"/>
          <w:szCs w:val="24"/>
        </w:rPr>
      </w:pPr>
      <w:proofErr w:type="spellStart"/>
      <w:r w:rsidRPr="0029420A">
        <w:rPr>
          <w:rFonts w:ascii="Times New Roman" w:hAnsi="Times New Roman" w:cs="Times New Roman"/>
          <w:sz w:val="24"/>
          <w:szCs w:val="24"/>
        </w:rPr>
        <w:t>Fakultas</w:t>
      </w:r>
      <w:proofErr w:type="spellEnd"/>
      <w:r w:rsidRPr="0029420A">
        <w:rPr>
          <w:rFonts w:ascii="Times New Roman" w:hAnsi="Times New Roman" w:cs="Times New Roman"/>
          <w:sz w:val="24"/>
          <w:szCs w:val="24"/>
        </w:rPr>
        <w:t xml:space="preserve"> </w:t>
      </w:r>
      <w:proofErr w:type="spellStart"/>
      <w:r w:rsidRPr="0029420A">
        <w:rPr>
          <w:rFonts w:ascii="Times New Roman" w:hAnsi="Times New Roman" w:cs="Times New Roman"/>
          <w:sz w:val="24"/>
          <w:szCs w:val="24"/>
        </w:rPr>
        <w:t>Ekonomi</w:t>
      </w:r>
      <w:proofErr w:type="spellEnd"/>
      <w:r w:rsidRPr="0029420A">
        <w:rPr>
          <w:rFonts w:ascii="Times New Roman" w:hAnsi="Times New Roman" w:cs="Times New Roman"/>
          <w:sz w:val="24"/>
          <w:szCs w:val="24"/>
        </w:rPr>
        <w:t xml:space="preserve"> </w:t>
      </w:r>
      <w:proofErr w:type="spellStart"/>
      <w:r w:rsidRPr="0029420A">
        <w:rPr>
          <w:rFonts w:ascii="Times New Roman" w:hAnsi="Times New Roman" w:cs="Times New Roman"/>
          <w:sz w:val="24"/>
          <w:szCs w:val="24"/>
        </w:rPr>
        <w:t>dan</w:t>
      </w:r>
      <w:proofErr w:type="spellEnd"/>
      <w:r w:rsidRPr="0029420A">
        <w:rPr>
          <w:rFonts w:ascii="Times New Roman" w:hAnsi="Times New Roman" w:cs="Times New Roman"/>
          <w:sz w:val="24"/>
          <w:szCs w:val="24"/>
        </w:rPr>
        <w:t xml:space="preserve"> </w:t>
      </w:r>
      <w:proofErr w:type="spellStart"/>
      <w:r w:rsidRPr="0029420A">
        <w:rPr>
          <w:rFonts w:ascii="Times New Roman" w:hAnsi="Times New Roman" w:cs="Times New Roman"/>
          <w:sz w:val="24"/>
          <w:szCs w:val="24"/>
        </w:rPr>
        <w:t>Bisnis</w:t>
      </w:r>
      <w:proofErr w:type="spellEnd"/>
      <w:r w:rsidRPr="0029420A">
        <w:rPr>
          <w:rFonts w:ascii="Times New Roman" w:hAnsi="Times New Roman" w:cs="Times New Roman"/>
          <w:sz w:val="24"/>
          <w:szCs w:val="24"/>
        </w:rPr>
        <w:t xml:space="preserve"> </w:t>
      </w:r>
      <w:proofErr w:type="spellStart"/>
      <w:r w:rsidRPr="0029420A">
        <w:rPr>
          <w:rFonts w:ascii="Times New Roman" w:hAnsi="Times New Roman" w:cs="Times New Roman"/>
          <w:sz w:val="24"/>
          <w:szCs w:val="24"/>
        </w:rPr>
        <w:t>Universitas</w:t>
      </w:r>
      <w:proofErr w:type="spellEnd"/>
      <w:r w:rsidRPr="0029420A">
        <w:rPr>
          <w:rFonts w:ascii="Times New Roman" w:hAnsi="Times New Roman" w:cs="Times New Roman"/>
          <w:sz w:val="24"/>
          <w:szCs w:val="24"/>
        </w:rPr>
        <w:t xml:space="preserve"> </w:t>
      </w:r>
      <w:proofErr w:type="spellStart"/>
      <w:r w:rsidRPr="0029420A">
        <w:rPr>
          <w:rFonts w:ascii="Times New Roman" w:hAnsi="Times New Roman" w:cs="Times New Roman"/>
          <w:sz w:val="24"/>
          <w:szCs w:val="24"/>
        </w:rPr>
        <w:t>Bnng</w:t>
      </w:r>
      <w:proofErr w:type="spellEnd"/>
      <w:r w:rsidRPr="0029420A">
        <w:rPr>
          <w:rFonts w:ascii="Times New Roman" w:hAnsi="Times New Roman" w:cs="Times New Roman"/>
          <w:sz w:val="24"/>
          <w:szCs w:val="24"/>
        </w:rPr>
        <w:t xml:space="preserve"> </w:t>
      </w:r>
      <w:proofErr w:type="spellStart"/>
      <w:r w:rsidRPr="0029420A">
        <w:rPr>
          <w:rFonts w:ascii="Times New Roman" w:hAnsi="Times New Roman" w:cs="Times New Roman"/>
          <w:sz w:val="24"/>
          <w:szCs w:val="24"/>
        </w:rPr>
        <w:t>Hatta</w:t>
      </w:r>
      <w:proofErr w:type="spellEnd"/>
      <w:r w:rsidRPr="0029420A">
        <w:rPr>
          <w:rFonts w:ascii="Times New Roman" w:hAnsi="Times New Roman" w:cs="Times New Roman"/>
          <w:sz w:val="24"/>
          <w:szCs w:val="24"/>
        </w:rPr>
        <w:t xml:space="preserve"> Padang</w:t>
      </w:r>
    </w:p>
    <w:p w:rsidR="007B3E8D" w:rsidRPr="0029420A" w:rsidRDefault="007B3E8D" w:rsidP="0029420A">
      <w:pPr>
        <w:spacing w:after="0" w:line="240" w:lineRule="auto"/>
        <w:jc w:val="center"/>
        <w:rPr>
          <w:rFonts w:ascii="Times New Roman" w:hAnsi="Times New Roman" w:cs="Times New Roman"/>
          <w:sz w:val="24"/>
          <w:szCs w:val="24"/>
        </w:rPr>
      </w:pPr>
      <w:r w:rsidRPr="0029420A">
        <w:rPr>
          <w:rFonts w:ascii="Times New Roman" w:hAnsi="Times New Roman" w:cs="Times New Roman"/>
          <w:sz w:val="24"/>
          <w:szCs w:val="24"/>
        </w:rPr>
        <w:t xml:space="preserve">E-Mail: </w:t>
      </w:r>
      <w:hyperlink r:id="rId6" w:history="1">
        <w:r w:rsidRPr="0029420A">
          <w:rPr>
            <w:rStyle w:val="Hyperlink"/>
            <w:rFonts w:ascii="Times New Roman" w:hAnsi="Times New Roman" w:cs="Times New Roman"/>
            <w:sz w:val="24"/>
            <w:szCs w:val="24"/>
          </w:rPr>
          <w:t>rionaldi9909@gmail.com</w:t>
        </w:r>
      </w:hyperlink>
      <w:r w:rsidRPr="0029420A">
        <w:rPr>
          <w:rFonts w:ascii="Times New Roman" w:hAnsi="Times New Roman" w:cs="Times New Roman"/>
          <w:sz w:val="24"/>
          <w:szCs w:val="24"/>
        </w:rPr>
        <w:t xml:space="preserve"> </w:t>
      </w:r>
      <w:proofErr w:type="spellStart"/>
      <w:r w:rsidR="00113481">
        <w:rPr>
          <w:rFonts w:ascii="Times New Roman" w:hAnsi="Times New Roman" w:cs="Times New Roman"/>
          <w:sz w:val="24"/>
          <w:szCs w:val="24"/>
        </w:rPr>
        <w:t>dan</w:t>
      </w:r>
      <w:proofErr w:type="spellEnd"/>
      <w:r w:rsidR="00113481">
        <w:rPr>
          <w:rFonts w:ascii="Times New Roman" w:hAnsi="Times New Roman" w:cs="Times New Roman"/>
          <w:sz w:val="24"/>
          <w:szCs w:val="24"/>
        </w:rPr>
        <w:t xml:space="preserve"> </w:t>
      </w:r>
      <w:hyperlink r:id="rId7" w:history="1">
        <w:r w:rsidR="00113481" w:rsidRPr="00113481">
          <w:rPr>
            <w:rStyle w:val="Hyperlink"/>
            <w:rFonts w:ascii="Times New Roman" w:hAnsi="Times New Roman" w:cs="Times New Roman"/>
            <w:sz w:val="24"/>
            <w:szCs w:val="24"/>
          </w:rPr>
          <w:t>zaitul@bunghatta.ac.id</w:t>
        </w:r>
      </w:hyperlink>
    </w:p>
    <w:p w:rsidR="007B3E8D" w:rsidRDefault="007B3E8D" w:rsidP="007B3E8D">
      <w:pPr>
        <w:spacing w:after="0"/>
        <w:jc w:val="center"/>
        <w:rPr>
          <w:rFonts w:ascii="Times New Roman" w:hAnsi="Times New Roman" w:cs="Times New Roman"/>
          <w:sz w:val="24"/>
          <w:szCs w:val="24"/>
        </w:rPr>
      </w:pPr>
    </w:p>
    <w:p w:rsidR="007B3E8D" w:rsidRPr="0029420A" w:rsidRDefault="0029420A" w:rsidP="0029420A">
      <w:pPr>
        <w:spacing w:after="0" w:line="360" w:lineRule="auto"/>
        <w:jc w:val="center"/>
        <w:rPr>
          <w:rFonts w:ascii="Times New Roman" w:hAnsi="Times New Roman" w:cs="Times New Roman"/>
          <w:b/>
          <w:sz w:val="24"/>
          <w:szCs w:val="24"/>
        </w:rPr>
      </w:pPr>
      <w:r w:rsidRPr="0029420A">
        <w:rPr>
          <w:rFonts w:ascii="Times New Roman" w:hAnsi="Times New Roman" w:cs="Times New Roman"/>
          <w:b/>
          <w:sz w:val="24"/>
          <w:szCs w:val="24"/>
        </w:rPr>
        <w:t>ABSTRAK</w:t>
      </w:r>
    </w:p>
    <w:p w:rsidR="007B3E8D" w:rsidRDefault="0029420A" w:rsidP="002942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sidR="007B3E8D">
        <w:rPr>
          <w:rFonts w:ascii="Times New Roman" w:hAnsi="Times New Roman" w:cs="Times New Roman"/>
          <w:sz w:val="24"/>
          <w:szCs w:val="24"/>
        </w:rPr>
        <w:t>Penelitian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ini</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bertujuan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membuktikaan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dan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menganalisis</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pengaruh</w:t>
      </w:r>
      <w:proofErr w:type="spellEnd"/>
      <w:r w:rsidR="007B3E8D">
        <w:rPr>
          <w:rFonts w:ascii="Times New Roman" w:hAnsi="Times New Roman" w:cs="Times New Roman"/>
          <w:sz w:val="24"/>
          <w:szCs w:val="24"/>
        </w:rPr>
        <w:t xml:space="preserve"> corporate governance </w:t>
      </w:r>
      <w:proofErr w:type="spellStart"/>
      <w:r w:rsidR="007B3E8D">
        <w:rPr>
          <w:rFonts w:ascii="Times New Roman" w:hAnsi="Times New Roman" w:cs="Times New Roman"/>
          <w:sz w:val="24"/>
          <w:szCs w:val="24"/>
        </w:rPr>
        <w:t>terhadap</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risiko</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investasi</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pada</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saat</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pandemi</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Covid</w:t>
      </w:r>
      <w:proofErr w:type="spellEnd"/>
      <w:r w:rsidR="007B3E8D">
        <w:rPr>
          <w:rFonts w:ascii="Times New Roman" w:hAnsi="Times New Roman" w:cs="Times New Roman"/>
          <w:sz w:val="24"/>
          <w:szCs w:val="24"/>
        </w:rPr>
        <w:t xml:space="preserve"> 19 </w:t>
      </w:r>
      <w:proofErr w:type="spellStart"/>
      <w:r w:rsidR="007B3E8D">
        <w:rPr>
          <w:rFonts w:ascii="Times New Roman" w:hAnsi="Times New Roman" w:cs="Times New Roman"/>
          <w:sz w:val="24"/>
          <w:szCs w:val="24"/>
        </w:rPr>
        <w:t>pada</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perusahaan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Perhotelan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Restoran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dan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Transportasi</w:t>
      </w:r>
      <w:proofErr w:type="spellEnd"/>
      <w:r w:rsidR="007B3E8D">
        <w:rPr>
          <w:rFonts w:ascii="Times New Roman" w:hAnsi="Times New Roman" w:cs="Times New Roman"/>
          <w:sz w:val="24"/>
          <w:szCs w:val="24"/>
        </w:rPr>
        <w:t xml:space="preserve"> di Bursa </w:t>
      </w:r>
      <w:proofErr w:type="spellStart"/>
      <w:r w:rsidR="007B3E8D">
        <w:rPr>
          <w:rFonts w:ascii="Times New Roman" w:hAnsi="Times New Roman" w:cs="Times New Roman"/>
          <w:sz w:val="24"/>
          <w:szCs w:val="24"/>
        </w:rPr>
        <w:t>Efek</w:t>
      </w:r>
      <w:proofErr w:type="spellEnd"/>
      <w:r w:rsidR="007B3E8D">
        <w:rPr>
          <w:rFonts w:ascii="Times New Roman" w:hAnsi="Times New Roman" w:cs="Times New Roman"/>
          <w:sz w:val="24"/>
          <w:szCs w:val="24"/>
        </w:rPr>
        <w:t xml:space="preserve"> Indonesia.</w:t>
      </w:r>
      <w:proofErr w:type="gramEnd"/>
      <w:r w:rsidR="007B3E8D">
        <w:rPr>
          <w:rFonts w:ascii="Times New Roman" w:hAnsi="Times New Roman" w:cs="Times New Roman"/>
          <w:sz w:val="24"/>
          <w:szCs w:val="24"/>
        </w:rPr>
        <w:t xml:space="preserve"> </w:t>
      </w:r>
      <w:proofErr w:type="gramStart"/>
      <w:r w:rsidR="007B3E8D">
        <w:rPr>
          <w:rFonts w:ascii="Times New Roman" w:hAnsi="Times New Roman" w:cs="Times New Roman"/>
          <w:sz w:val="24"/>
          <w:szCs w:val="24"/>
        </w:rPr>
        <w:t xml:space="preserve">Data yang </w:t>
      </w:r>
      <w:proofErr w:type="spellStart"/>
      <w:r w:rsidR="007B3E8D">
        <w:rPr>
          <w:rFonts w:ascii="Times New Roman" w:hAnsi="Times New Roman" w:cs="Times New Roman"/>
          <w:sz w:val="24"/>
          <w:szCs w:val="24"/>
        </w:rPr>
        <w:t>digunakan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dari</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tahun</w:t>
      </w:r>
      <w:proofErr w:type="spellEnd"/>
      <w:r w:rsidR="007B3E8D">
        <w:rPr>
          <w:rFonts w:ascii="Times New Roman" w:hAnsi="Times New Roman" w:cs="Times New Roman"/>
          <w:sz w:val="24"/>
          <w:szCs w:val="24"/>
        </w:rPr>
        <w:t xml:space="preserve"> 2020 </w:t>
      </w:r>
      <w:proofErr w:type="spellStart"/>
      <w:r w:rsidR="007B3E8D">
        <w:rPr>
          <w:rFonts w:ascii="Times New Roman" w:hAnsi="Times New Roman" w:cs="Times New Roman"/>
          <w:sz w:val="24"/>
          <w:szCs w:val="24"/>
        </w:rPr>
        <w:t>sampai</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dengan</w:t>
      </w:r>
      <w:proofErr w:type="spellEnd"/>
      <w:r w:rsidR="007B3E8D">
        <w:rPr>
          <w:rFonts w:ascii="Times New Roman" w:hAnsi="Times New Roman" w:cs="Times New Roman"/>
          <w:sz w:val="24"/>
          <w:szCs w:val="24"/>
        </w:rPr>
        <w:t xml:space="preserve"> 2021.</w:t>
      </w:r>
      <w:proofErr w:type="gramEnd"/>
      <w:r w:rsidR="007B3E8D">
        <w:rPr>
          <w:rFonts w:ascii="Times New Roman" w:hAnsi="Times New Roman" w:cs="Times New Roman"/>
          <w:sz w:val="24"/>
          <w:szCs w:val="24"/>
        </w:rPr>
        <w:t xml:space="preserve"> </w:t>
      </w:r>
      <w:proofErr w:type="gramStart"/>
      <w:r w:rsidR="007B3E8D">
        <w:rPr>
          <w:rFonts w:ascii="Times New Roman" w:hAnsi="Times New Roman" w:cs="Times New Roman"/>
          <w:sz w:val="24"/>
          <w:szCs w:val="24"/>
        </w:rPr>
        <w:t xml:space="preserve">Data yang </w:t>
      </w:r>
      <w:proofErr w:type="spellStart"/>
      <w:r w:rsidR="007B3E8D">
        <w:rPr>
          <w:rFonts w:ascii="Times New Roman" w:hAnsi="Times New Roman" w:cs="Times New Roman"/>
          <w:sz w:val="24"/>
          <w:szCs w:val="24"/>
        </w:rPr>
        <w:t>digunakan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diperoleh</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dari</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laporan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keuangan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tahunan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perusahaan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sektor</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jasa</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perhotelan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restoran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dan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transportasi</w:t>
      </w:r>
      <w:proofErr w:type="spellEnd"/>
      <w:r w:rsidR="007B3E8D">
        <w:rPr>
          <w:rFonts w:ascii="Times New Roman" w:hAnsi="Times New Roman" w:cs="Times New Roman"/>
          <w:sz w:val="24"/>
          <w:szCs w:val="24"/>
        </w:rPr>
        <w:t xml:space="preserve"> di Bursa </w:t>
      </w:r>
      <w:proofErr w:type="spellStart"/>
      <w:r w:rsidR="007B3E8D">
        <w:rPr>
          <w:rFonts w:ascii="Times New Roman" w:hAnsi="Times New Roman" w:cs="Times New Roman"/>
          <w:sz w:val="24"/>
          <w:szCs w:val="24"/>
        </w:rPr>
        <w:t>Efek</w:t>
      </w:r>
      <w:proofErr w:type="spellEnd"/>
      <w:r w:rsidR="007B3E8D">
        <w:rPr>
          <w:rFonts w:ascii="Times New Roman" w:hAnsi="Times New Roman" w:cs="Times New Roman"/>
          <w:sz w:val="24"/>
          <w:szCs w:val="24"/>
        </w:rPr>
        <w:t xml:space="preserve"> Indonesia.</w:t>
      </w:r>
      <w:proofErr w:type="gramEnd"/>
      <w:r w:rsidR="007B3E8D">
        <w:rPr>
          <w:rFonts w:ascii="Times New Roman" w:hAnsi="Times New Roman" w:cs="Times New Roman"/>
          <w:sz w:val="24"/>
          <w:szCs w:val="24"/>
        </w:rPr>
        <w:t xml:space="preserve"> </w:t>
      </w:r>
      <w:proofErr w:type="spellStart"/>
      <w:proofErr w:type="gramStart"/>
      <w:r w:rsidR="007B3E8D">
        <w:rPr>
          <w:rFonts w:ascii="Times New Roman" w:hAnsi="Times New Roman" w:cs="Times New Roman"/>
          <w:sz w:val="24"/>
          <w:szCs w:val="24"/>
        </w:rPr>
        <w:t>Metode</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analisis</w:t>
      </w:r>
      <w:proofErr w:type="spellEnd"/>
      <w:r w:rsidR="007B3E8D">
        <w:rPr>
          <w:rFonts w:ascii="Times New Roman" w:hAnsi="Times New Roman" w:cs="Times New Roman"/>
          <w:sz w:val="24"/>
          <w:szCs w:val="24"/>
        </w:rPr>
        <w:t xml:space="preserve"> data yang </w:t>
      </w:r>
      <w:proofErr w:type="spellStart"/>
      <w:r w:rsidR="007B3E8D">
        <w:rPr>
          <w:rFonts w:ascii="Times New Roman" w:hAnsi="Times New Roman" w:cs="Times New Roman"/>
          <w:sz w:val="24"/>
          <w:szCs w:val="24"/>
        </w:rPr>
        <w:t>digunakan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adalah</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regresi</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berganda</w:t>
      </w:r>
      <w:proofErr w:type="spellEnd"/>
      <w:r w:rsidR="007B3E8D">
        <w:rPr>
          <w:rFonts w:ascii="Times New Roman" w:hAnsi="Times New Roman" w:cs="Times New Roman"/>
          <w:sz w:val="24"/>
          <w:szCs w:val="24"/>
        </w:rPr>
        <w:t>.</w:t>
      </w:r>
      <w:proofErr w:type="gramEnd"/>
      <w:r w:rsidR="007B3E8D">
        <w:rPr>
          <w:rFonts w:ascii="Times New Roman" w:hAnsi="Times New Roman" w:cs="Times New Roman"/>
          <w:sz w:val="24"/>
          <w:szCs w:val="24"/>
        </w:rPr>
        <w:t xml:space="preserve"> Proses </w:t>
      </w:r>
      <w:proofErr w:type="spellStart"/>
      <w:r w:rsidR="007B3E8D">
        <w:rPr>
          <w:rFonts w:ascii="Times New Roman" w:hAnsi="Times New Roman" w:cs="Times New Roman"/>
          <w:sz w:val="24"/>
          <w:szCs w:val="24"/>
        </w:rPr>
        <w:t>pengolahan</w:t>
      </w:r>
      <w:proofErr w:type="spellEnd"/>
      <w:r w:rsidR="007B3E8D">
        <w:rPr>
          <w:rFonts w:ascii="Times New Roman" w:hAnsi="Times New Roman" w:cs="Times New Roman"/>
          <w:sz w:val="24"/>
          <w:szCs w:val="24"/>
        </w:rPr>
        <w:t xml:space="preserve"> data </w:t>
      </w:r>
      <w:proofErr w:type="spellStart"/>
      <w:r w:rsidR="007B3E8D">
        <w:rPr>
          <w:rFonts w:ascii="Times New Roman" w:hAnsi="Times New Roman" w:cs="Times New Roman"/>
          <w:sz w:val="24"/>
          <w:szCs w:val="24"/>
        </w:rPr>
        <w:t>dilakukan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dengan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bantuan</w:t>
      </w:r>
      <w:proofErr w:type="spellEnd"/>
      <w:r w:rsidR="007B3E8D">
        <w:rPr>
          <w:rFonts w:ascii="Times New Roman" w:hAnsi="Times New Roman" w:cs="Times New Roman"/>
          <w:sz w:val="24"/>
          <w:szCs w:val="24"/>
        </w:rPr>
        <w:t xml:space="preserve"> program SPSS 25.0. </w:t>
      </w:r>
      <w:proofErr w:type="spellStart"/>
      <w:r w:rsidR="007B3E8D">
        <w:rPr>
          <w:rFonts w:ascii="Times New Roman" w:hAnsi="Times New Roman" w:cs="Times New Roman"/>
          <w:sz w:val="24"/>
          <w:szCs w:val="24"/>
        </w:rPr>
        <w:t>Berdasarkan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hasil</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pengujian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hipotesis</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ditemukan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dewan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komisaris</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keberadaan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perempuan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dalam</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dewan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komisaris</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dan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kepemilikan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pablik</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berpengaruh</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negaitf</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dan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signifikan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terhadap</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risiko</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investasi</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pada</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saat</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pandemi</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Covid</w:t>
      </w:r>
      <w:proofErr w:type="spellEnd"/>
      <w:r w:rsidR="007B3E8D">
        <w:rPr>
          <w:rFonts w:ascii="Times New Roman" w:hAnsi="Times New Roman" w:cs="Times New Roman"/>
          <w:sz w:val="24"/>
          <w:szCs w:val="24"/>
        </w:rPr>
        <w:t xml:space="preserve"> 19 </w:t>
      </w:r>
      <w:proofErr w:type="spellStart"/>
      <w:r w:rsidR="007B3E8D">
        <w:rPr>
          <w:rFonts w:ascii="Times New Roman" w:hAnsi="Times New Roman" w:cs="Times New Roman"/>
          <w:sz w:val="24"/>
          <w:szCs w:val="24"/>
        </w:rPr>
        <w:t>pada</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perusahaan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sektor</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perhotelan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restoran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dan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transportasi</w:t>
      </w:r>
      <w:proofErr w:type="spellEnd"/>
      <w:r w:rsidR="007B3E8D">
        <w:rPr>
          <w:rFonts w:ascii="Times New Roman" w:hAnsi="Times New Roman" w:cs="Times New Roman"/>
          <w:sz w:val="24"/>
          <w:szCs w:val="24"/>
        </w:rPr>
        <w:t xml:space="preserve"> di Bursa </w:t>
      </w:r>
      <w:proofErr w:type="spellStart"/>
      <w:r w:rsidR="007B3E8D">
        <w:rPr>
          <w:rFonts w:ascii="Times New Roman" w:hAnsi="Times New Roman" w:cs="Times New Roman"/>
          <w:sz w:val="24"/>
          <w:szCs w:val="24"/>
        </w:rPr>
        <w:t>Efek</w:t>
      </w:r>
      <w:proofErr w:type="spellEnd"/>
      <w:r w:rsidR="007B3E8D">
        <w:rPr>
          <w:rFonts w:ascii="Times New Roman" w:hAnsi="Times New Roman" w:cs="Times New Roman"/>
          <w:sz w:val="24"/>
          <w:szCs w:val="24"/>
        </w:rPr>
        <w:t xml:space="preserve"> Indonesia, </w:t>
      </w:r>
      <w:proofErr w:type="spellStart"/>
      <w:r w:rsidR="007B3E8D">
        <w:rPr>
          <w:rFonts w:ascii="Times New Roman" w:hAnsi="Times New Roman" w:cs="Times New Roman"/>
          <w:sz w:val="24"/>
          <w:szCs w:val="24"/>
        </w:rPr>
        <w:t>sendangkan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proporsi</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dewan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komisaris</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independen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tidak</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berpengaruh</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signifikan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terhadap</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risiko</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investasi</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pada</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saat</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pandemi</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Covid</w:t>
      </w:r>
      <w:proofErr w:type="spellEnd"/>
      <w:r w:rsidR="007B3E8D">
        <w:rPr>
          <w:rFonts w:ascii="Times New Roman" w:hAnsi="Times New Roman" w:cs="Times New Roman"/>
          <w:sz w:val="24"/>
          <w:szCs w:val="24"/>
        </w:rPr>
        <w:t xml:space="preserve"> 19 </w:t>
      </w:r>
      <w:proofErr w:type="spellStart"/>
      <w:r w:rsidR="007B3E8D">
        <w:rPr>
          <w:rFonts w:ascii="Times New Roman" w:hAnsi="Times New Roman" w:cs="Times New Roman"/>
          <w:sz w:val="24"/>
          <w:szCs w:val="24"/>
        </w:rPr>
        <w:t>pada</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perusahaan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perhotelan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restoran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dan</w:t>
      </w:r>
      <w:proofErr w:type="spellEnd"/>
      <w:r w:rsidR="007B3E8D">
        <w:rPr>
          <w:rFonts w:ascii="Times New Roman" w:hAnsi="Times New Roman" w:cs="Times New Roman"/>
          <w:sz w:val="24"/>
          <w:szCs w:val="24"/>
        </w:rPr>
        <w:t xml:space="preserve"> </w:t>
      </w:r>
      <w:proofErr w:type="spellStart"/>
      <w:r w:rsidR="007B3E8D">
        <w:rPr>
          <w:rFonts w:ascii="Times New Roman" w:hAnsi="Times New Roman" w:cs="Times New Roman"/>
          <w:sz w:val="24"/>
          <w:szCs w:val="24"/>
        </w:rPr>
        <w:t>transportasi</w:t>
      </w:r>
      <w:proofErr w:type="spellEnd"/>
      <w:r w:rsidR="007B3E8D">
        <w:rPr>
          <w:rFonts w:ascii="Times New Roman" w:hAnsi="Times New Roman" w:cs="Times New Roman"/>
          <w:sz w:val="24"/>
          <w:szCs w:val="24"/>
        </w:rPr>
        <w:t xml:space="preserve"> di Bursa </w:t>
      </w:r>
      <w:proofErr w:type="spellStart"/>
      <w:r w:rsidR="007B3E8D">
        <w:rPr>
          <w:rFonts w:ascii="Times New Roman" w:hAnsi="Times New Roman" w:cs="Times New Roman"/>
          <w:sz w:val="24"/>
          <w:szCs w:val="24"/>
        </w:rPr>
        <w:t>Efek</w:t>
      </w:r>
      <w:proofErr w:type="spellEnd"/>
      <w:r w:rsidR="007B3E8D">
        <w:rPr>
          <w:rFonts w:ascii="Times New Roman" w:hAnsi="Times New Roman" w:cs="Times New Roman"/>
          <w:sz w:val="24"/>
          <w:szCs w:val="24"/>
        </w:rPr>
        <w:t xml:space="preserve"> </w:t>
      </w:r>
      <w:r w:rsidR="00DF0BC3">
        <w:rPr>
          <w:rFonts w:ascii="Times New Roman" w:hAnsi="Times New Roman" w:cs="Times New Roman"/>
          <w:sz w:val="24"/>
          <w:szCs w:val="24"/>
        </w:rPr>
        <w:t>Indonesia.</w:t>
      </w:r>
    </w:p>
    <w:p w:rsidR="00DF0BC3" w:rsidRDefault="00DF0BC3" w:rsidP="0029420A">
      <w:pPr>
        <w:spacing w:after="0" w:line="240" w:lineRule="auto"/>
        <w:jc w:val="both"/>
        <w:rPr>
          <w:rFonts w:ascii="Times New Roman" w:hAnsi="Times New Roman" w:cs="Times New Roman"/>
          <w:sz w:val="24"/>
          <w:szCs w:val="24"/>
        </w:rPr>
      </w:pPr>
    </w:p>
    <w:p w:rsidR="00DF0BC3" w:rsidRDefault="00DF0BC3" w:rsidP="0029420A">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Dewan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p>
    <w:p w:rsidR="004F45C4" w:rsidRPr="007B3E8D" w:rsidRDefault="004F45C4" w:rsidP="0029420A">
      <w:pPr>
        <w:spacing w:after="0" w:line="240" w:lineRule="auto"/>
        <w:ind w:left="1440" w:hanging="1440"/>
        <w:jc w:val="both"/>
        <w:rPr>
          <w:rFonts w:ascii="Times New Roman" w:hAnsi="Times New Roman" w:cs="Times New Roman"/>
          <w:sz w:val="24"/>
          <w:szCs w:val="24"/>
        </w:rPr>
      </w:pPr>
    </w:p>
    <w:p w:rsidR="004F45C4" w:rsidRDefault="004F45C4" w:rsidP="0029420A">
      <w:pPr>
        <w:spacing w:after="0" w:line="240" w:lineRule="auto"/>
        <w:rPr>
          <w:rFonts w:ascii="Times New Roman" w:hAnsi="Times New Roman" w:cs="Times New Roman"/>
          <w:b/>
        </w:rPr>
        <w:sectPr w:rsidR="004F45C4">
          <w:pgSz w:w="12240" w:h="15840"/>
          <w:pgMar w:top="1440" w:right="1440" w:bottom="1440" w:left="1440" w:header="720" w:footer="720" w:gutter="0"/>
          <w:cols w:space="720"/>
          <w:docGrid w:linePitch="360"/>
        </w:sectPr>
      </w:pPr>
    </w:p>
    <w:p w:rsidR="00DF0BC3" w:rsidRPr="00DF0BC3" w:rsidRDefault="00DF0BC3" w:rsidP="0029420A">
      <w:pPr>
        <w:spacing w:after="0" w:line="240" w:lineRule="auto"/>
        <w:rPr>
          <w:rFonts w:ascii="Times New Roman" w:hAnsi="Times New Roman" w:cs="Times New Roman"/>
          <w:b/>
        </w:rPr>
      </w:pPr>
      <w:r w:rsidRPr="00DF0BC3">
        <w:rPr>
          <w:rFonts w:ascii="Times New Roman" w:hAnsi="Times New Roman" w:cs="Times New Roman"/>
          <w:b/>
        </w:rPr>
        <w:lastRenderedPageBreak/>
        <w:t>PENDAHULUAN</w:t>
      </w:r>
    </w:p>
    <w:p w:rsidR="00DF0BC3" w:rsidRDefault="00DF0BC3" w:rsidP="002942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Berinvestasi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cara</w:t>
      </w:r>
      <w:proofErr w:type="spellEnd"/>
      <w:proofErr w:type="gram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investor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individual, </w:t>
      </w:r>
      <w:proofErr w:type="spellStart"/>
      <w:r>
        <w:rPr>
          <w:rFonts w:ascii="Times New Roman" w:hAnsi="Times New Roman" w:cs="Times New Roman"/>
          <w:sz w:val="24"/>
          <w:szCs w:val="24"/>
        </w:rPr>
        <w:t>berkelompok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mengatasnamakan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memaksimalkan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kelebihan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mengoptimalkan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berinvestasi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investor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beda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{"citationItems":[{"id":"ITEM-1","itemData":{"DOI":"10.24912/jmieb.v4i2.9144","ISSN":"2579-6224","abstract":"Perkembangan teknologi dan gaya hidup generasi milenial mendorong perilaku konsumtif sehingga pentingya mengetahui faktor- faktor yang memengaruhi financial management behavior generasi milenial agar tidak terjebak pada masalah keuangan. Penelitian ini mempunyai tujuan untuk menguji pengaruh financial literacy dan money attitude dari dimensi power prestige dan anxiety terhadap financial management behavior pada generasi millenial yang tinggal di Bandung. Teknik pengambilan sampel dengan metode sampling non-probability yaitu teknik purposive sampling. Sampel berjumlah 1.120 responden yang mayoritas adalah perempuan dan berpendidikan perguruan tinggi. Dari hasil pengujian menggunakan analisis regresi berganda menunjukkan financial literacy dan money attitude dari dimensi power prestige mempunyai pengaruh yang signifikan terhadap financial management behavior sedangkan money attitude-anxiety tidak mempunyai pengaruh terhadap financial management behavior pada generasi millenial yang tinggal di Bandung. Penelitian ini menyarankan peningkatan financial literacy dan money attitude- Power-prestige bagi generasi milenial, adanya kurikulum pendidikan mengenai literasi keuangan, dan bagi peneliti selanjutnya dapat melakukan penelitian bagi generasi milenial di luar kota Bandung serta meneliti faktor- faktor lain yang memengaruhi financial management behavior. Technological developments and the lifestyle of the millennial generation encourage consumptive behavior, so it is important to know the factoes that influence the financial management behavior of the millennial generation so that they are not trapped in financial problems. The purpose of this study was to empirically examine the effect of financial literacy and money attitude form the dimensions of power prestige and anxiety on financial management behavior in the millennial generation living in Bandung. This study uses a non-probability sampling method with a purposive sampling technique. The sample consisted of 1,120 respondents, the majority of whom were women and had university education. From the test results using multiple regression analysis shows that financial literacy and money attitude from the power prestige dimension have a significant effect on financial management behavior, while money attitude from the anxiety dimension has no effect on financial management behavior in the millennial generation who live in Bandung. in Bandung. This study suggests an increase in financial literacy and money a…","author":[{"dropping-particle":"","family":"Ida","given":"Ida","non-dropping-particle":"","parse-names":false,"suffix":""},{"dropping-particle":"","family":"Zaniarti","given":"Sri","non-dropping-particle":"","parse-names":false,"suffix":""},{"dropping-particle":"","family":"Wijaya","given":"Graciela Ervina","non-dropping-particle":"","parse-names":false,"suffix":""}],"container-title":"Jurnal Muara Ilmu Ekonomi dan Bisnis","id":"ITEM-1","issue":"2","issued":{"date-parts":[["2020"]]},"page":"406","title":"Financial Literacy, Money Attitude, Dan Financial Management Behavior Generasi Milenial","type":"article-journal","volume":"4"},"uris":["http://www.mendeley.com/documents/?uuid=0f6e59c2-74e9-4f18-8b97-33702381904c"]}],"mendeley":{"formattedCitation":"(Ida et al., 2020)","plainTextFormattedCitation":"(Ida et al., 2020)","previouslyFormattedCitation":"(Ida et al., 2020)"},"properties":{"noteIndex":0},"schema":"https://github.com/citation-style-language/schema/raw/master/csl-citation.json"}</w:instrText>
      </w:r>
      <w:r>
        <w:rPr>
          <w:rFonts w:ascii="Times New Roman" w:hAnsi="Times New Roman" w:cs="Times New Roman"/>
          <w:sz w:val="24"/>
          <w:szCs w:val="24"/>
        </w:rPr>
        <w:fldChar w:fldCharType="separate"/>
      </w:r>
      <w:r w:rsidRPr="009C0B81">
        <w:rPr>
          <w:rFonts w:ascii="Times New Roman" w:hAnsi="Times New Roman" w:cs="Times New Roman"/>
          <w:noProof/>
          <w:sz w:val="24"/>
          <w:szCs w:val="24"/>
        </w:rPr>
        <w:t>(Ida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investor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DF0BC3" w:rsidRDefault="00DF0BC3" w:rsidP="002942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-979-21-2478-1","author":[{"dropping-particle":"","family":"Tandelilin","given":"Eduardus","non-dropping-particle":"","parse-names":false,"suffix":""}],"edition":"Kedua","id":"ITEM-1","issued":{"date-parts":[["2010"]]},"publisher":"BPFE","publisher-place":"Yogyakarta","title":"Portofolio dan Investasi: Teori dan Aplikasi","type":"book"},"uris":["http://www.mendeley.com/documents/?uuid=21a65e85-77ed-478a-9c92-f3041a853288"]}],"mendeley":{"formattedCitation":"(Tandelilin, 2010)","manualFormatting":"Tandelilin (2010)","plainTextFormattedCitation":"(Tandelilin, 2010)","previouslyFormattedCitation":"(Tandelilin, 2010)"},"properties":{"noteIndex":0},"schema":"https://github.com/citation-style-language/schema/raw/master/csl-citation.json"}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Tandelilin</w:t>
      </w:r>
      <w:r w:rsidRPr="009C0B81">
        <w:rPr>
          <w:rFonts w:ascii="Times New Roman" w:hAnsi="Times New Roman" w:cs="Times New Roman"/>
          <w:noProof/>
          <w:sz w:val="24"/>
          <w:szCs w:val="24"/>
        </w:rPr>
        <w:t xml:space="preserve"> </w:t>
      </w:r>
      <w:r>
        <w:rPr>
          <w:rFonts w:ascii="Times New Roman" w:hAnsi="Times New Roman" w:cs="Times New Roman"/>
          <w:noProof/>
          <w:sz w:val="24"/>
          <w:szCs w:val="24"/>
        </w:rPr>
        <w:t>(</w:t>
      </w:r>
      <w:r w:rsidRPr="009C0B81">
        <w:rPr>
          <w:rFonts w:ascii="Times New Roman" w:hAnsi="Times New Roman" w:cs="Times New Roman"/>
          <w:noProof/>
          <w:sz w:val="24"/>
          <w:szCs w:val="24"/>
        </w:rPr>
        <w:t>2010)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selisih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deviasi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investor. Investor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cara</w:t>
      </w:r>
      <w:proofErr w:type="spellEnd"/>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Investor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investor yang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r w:rsidRPr="007A77F0">
        <w:rPr>
          <w:rFonts w:ascii="Times New Roman" w:hAnsi="Times New Roman" w:cs="Times New Roman"/>
          <w:i/>
          <w:sz w:val="24"/>
          <w:szCs w:val="24"/>
        </w:rPr>
        <w:t>risk averse</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pula investor yang </w:t>
      </w:r>
      <w:proofErr w:type="spellStart"/>
      <w:r>
        <w:rPr>
          <w:rFonts w:ascii="Times New Roman" w:hAnsi="Times New Roman" w:cs="Times New Roman"/>
          <w:sz w:val="24"/>
          <w:szCs w:val="24"/>
        </w:rPr>
        <w:t>menyukai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r w:rsidRPr="007A77F0">
        <w:rPr>
          <w:rFonts w:ascii="Times New Roman" w:hAnsi="Times New Roman" w:cs="Times New Roman"/>
          <w:i/>
          <w:sz w:val="24"/>
          <w:szCs w:val="24"/>
        </w:rPr>
        <w:t>risk seeker</w:t>
      </w:r>
      <w:r>
        <w:rPr>
          <w:rFonts w:ascii="Times New Roman" w:hAnsi="Times New Roman" w:cs="Times New Roman"/>
          <w:sz w:val="24"/>
          <w:szCs w:val="24"/>
        </w:rPr>
        <w:t>).</w:t>
      </w:r>
      <w:proofErr w:type="gramEnd"/>
      <w:r>
        <w:rPr>
          <w:rFonts w:ascii="Times New Roman" w:hAnsi="Times New Roman" w:cs="Times New Roman"/>
          <w:sz w:val="24"/>
          <w:szCs w:val="24"/>
        </w:rPr>
        <w:t xml:space="preserve"> Investor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hadapi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investor yang </w:t>
      </w:r>
      <w:proofErr w:type="spellStart"/>
      <w:r>
        <w:rPr>
          <w:rFonts w:ascii="Times New Roman" w:hAnsi="Times New Roman" w:cs="Times New Roman"/>
          <w:sz w:val="24"/>
          <w:szCs w:val="24"/>
        </w:rPr>
        <w:t>menyukai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mengetahui pengaruh financial knowledge, financial behavior, financial efficacy, risk tolerance dan terhadap financial satisfaction pada Pegawai PT. Bank Mandiri (Persero) Kantor Pusat. Penelitian ini menggunakan teknik purposive sampling yang dilakukan terhadap 386 sampel dari Pegawai Asisten Manajer dan Asisten Manajer PT. Bank Mandiri (Persero) Kantor Pusat tahun 2019. Metode yang dilakukan adalah kuesioner dan wawancara. Hasil penelitian menunjukkan bahwa terdapat pengaruh signifikan dan positif pada financial behavior, financial efficacy dan risk tolerance terhadap financial satisfaction Pegawai PT. Bank Mandiri (Persero) Kantor Pusat baik secara serempak maupun secara parsial. Hal tersebut menunjukan implikasi bahwa individu harus memiliki financial behavior yang baik dan financial efficacy yang memadai agar memiliki tingkat kepuasan keuangan yang tinggi dan kondisi keuangan yang mapan. Adapun financial knowledge memiliki pengaruh yang tidak signifikan, dan ada indikasi peran cognitive biases. Pada penelitian juga ditemukan bahwa sampel memiliki tingkat kepuasan keuangan memiliki tendensi untuk risk averse, meskipun tingkat imbal bias saja sub-par karena perilaku yang konservatif","author":[{"dropping-particle":"","family":"Pratiwi","given":"Octaviany","non-dropping-particle":"","parse-names":false,"suffix":""}],"container-title":"Jurnal Dinamika Manajemen Dan Bisnis","id":"ITEM-1","issue":"2","issued":{"date-parts":[["2019"]]},"page":"1-11","title":"Pengaruh Financial Knowledge , Financial Behavior , Financial Efficacy &amp; Risk Tolerance Terhadap Financial Satisfaction Pada Pegawai PT. Bank Mandiri ( Persero ) Kantor Pusat","type":"article-journal","volume":"2"},"uris":["http://www.mendeley.com/documents/?uuid=3b868328-e7be-4c74-ad2f-2f082bddd55a"]}],"mendeley":{"formattedCitation":"(Pratiwi, 2019)","plainTextFormattedCitation":"(Pratiwi, 2019)","previouslyFormattedCitation":"(Pratiwi, 2019)"},"properties":{"noteIndex":0},"schema":"https://github.com/citation-style-language/schema/raw/master/csl-citation.json"}</w:instrText>
      </w:r>
      <w:r>
        <w:rPr>
          <w:rFonts w:ascii="Times New Roman" w:hAnsi="Times New Roman" w:cs="Times New Roman"/>
          <w:sz w:val="24"/>
          <w:szCs w:val="24"/>
        </w:rPr>
        <w:fldChar w:fldCharType="separate"/>
      </w:r>
      <w:r w:rsidRPr="00D51ADC">
        <w:rPr>
          <w:rFonts w:ascii="Times New Roman" w:hAnsi="Times New Roman" w:cs="Times New Roman"/>
          <w:noProof/>
          <w:sz w:val="24"/>
          <w:szCs w:val="24"/>
        </w:rPr>
        <w:t>(Pratiwi, 2019)</w:t>
      </w:r>
      <w:r>
        <w:rPr>
          <w:rFonts w:ascii="Times New Roman" w:hAnsi="Times New Roman" w:cs="Times New Roman"/>
          <w:sz w:val="24"/>
          <w:szCs w:val="24"/>
        </w:rPr>
        <w:fldChar w:fldCharType="end"/>
      </w:r>
      <w:r>
        <w:rPr>
          <w:rFonts w:ascii="Times New Roman" w:hAnsi="Times New Roman" w:cs="Times New Roman"/>
          <w:sz w:val="24"/>
          <w:szCs w:val="24"/>
        </w:rPr>
        <w:t>.</w:t>
      </w:r>
    </w:p>
    <w:p w:rsidR="00DF0BC3" w:rsidRDefault="00DF0BC3" w:rsidP="002942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{"citationItems":[{"id":"ITEM-1","itemData":{"DOI":"10.1108/CG-02-2019-0071","ISSN":"14720701","abstract":"Purpose: This study aims to examine the control of corporate governance towards firm risks for a sample of Indonesian firms in agriculture, mining and property industries. This study highlights the impact of four indicators of internal mechanism of corporate governance, i.e. board size, board independence, board gender and board ownership, on three measurements of firm risks, i.e. total risk, asset return risk and idiosyncratic risk. Design/methodology/approach: Panel data analysis is conducted using a sample of 62 companies of agriculture, mining and property industries listed in Indonesia Stock Exchange from 2013 to 2017. Pooled ordinary least square with hetero-corrected is the statistical approach conducted to test the hypotheses. Findings: The result indicates that board size and board gender insignificantly influence firm risks. While board independence gives varied impacts towards firm risks, it gives positive influence towards total asset return risk, insignificant towards idiosyncratic risk and negative towards total risk. Other interesting results are found in board ownership that has insignificant influence on asset return risk and negative influence on idiosyncratic and total risk. Research limitations/implications: Firms should incorporate corporate governance, especially the impactful roles of board independence and board ownership as they serve as tools in reducing firm risk. Moreover, investors may have a better understanding of corporate governance and factors that are influencing firm risks. Therefore, this study can assist them to make the right investment decision. Originality/value: This study is notably the first to use comprehensively three measurements of firm risks in Indonesia. Risks can come from internal and external, thus the company should understand the various types of risks facing the company. Total risk measures both the internal and external risks, while asset return risk gives another perspective using overall market perception about the equity and assets of the company. Finally, this study also measures internal risk, which is the only risk that can be controlled and minimised by the board of the company.","author":[{"dropping-particle":"","family":"Hatane","given":"Saarce Elsye","non-dropping-particle":"","parse-names":false,"suffix":""},{"dropping-particle":"","family":"Supangat","given":"Stellania","non-dropping-particle":"","parse-names":false,"suffix":""},{"dropping-particle":"","family":"Tarigan","given":"Josua","non-dropping-particle":"","parse-names":false,"suffix":""},{"dropping-particle":"","family":"Jie","given":"Ferry","non-dropping-particle":"","parse-names":false,"suffix":""}],"container-title":"Corporate Governance (Bingley)","id":"ITEM-1","issue":"6","issued":{"date-parts":[["2019"]]},"page":"1362-1376","title":"Does internal corporate governance mechanism control firm risk? Evidence from Indonesia’s three high-risk sectors","type":"article-journal","volume":"19"},"uris":["http://www.mendeley.com/documents/?uuid=b6fbf06e-b54d-49d4-b014-7693bbf28562"]}],"mendeley":{"formattedCitation":"(Hatane et al., 2019)","manualFormatting":"Hatane et al., (2019)","plainTextFormattedCitation":"(Hatane et al., 2019)","previouslyFormattedCitation":"(Hatane et al., 2019)"},"properties":{"noteIndex":0},"schema":"https://github.com/citation-style-language/schema/raw/master/csl-citation.json"}</w:instrText>
      </w:r>
      <w:r>
        <w:rPr>
          <w:rFonts w:ascii="Times New Roman" w:hAnsi="Times New Roman" w:cs="Times New Roman"/>
          <w:sz w:val="24"/>
          <w:szCs w:val="24"/>
        </w:rPr>
        <w:fldChar w:fldCharType="separate"/>
      </w:r>
      <w:r w:rsidRPr="00C72EB7">
        <w:rPr>
          <w:rFonts w:ascii="Times New Roman" w:hAnsi="Times New Roman" w:cs="Times New Roman"/>
          <w:noProof/>
          <w:sz w:val="24"/>
          <w:szCs w:val="24"/>
        </w:rPr>
        <w:t xml:space="preserve">Hatane et al., </w:t>
      </w:r>
      <w:r>
        <w:rPr>
          <w:rFonts w:ascii="Times New Roman" w:hAnsi="Times New Roman" w:cs="Times New Roman"/>
          <w:noProof/>
          <w:sz w:val="24"/>
          <w:szCs w:val="24"/>
        </w:rPr>
        <w:t>(</w:t>
      </w:r>
      <w:r w:rsidRPr="00C72EB7">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investor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wajar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asimetri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transparansi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r w:rsidRPr="00C72EB7">
        <w:rPr>
          <w:rFonts w:ascii="Times New Roman" w:hAnsi="Times New Roman" w:cs="Times New Roman"/>
          <w:i/>
          <w:sz w:val="24"/>
          <w:szCs w:val="24"/>
        </w:rPr>
        <w:t>corporate governance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Transparansi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dikendalikan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r w:rsidRPr="005742AF">
        <w:rPr>
          <w:rFonts w:ascii="Times New Roman" w:hAnsi="Times New Roman" w:cs="Times New Roman"/>
          <w:i/>
          <w:sz w:val="24"/>
          <w:szCs w:val="24"/>
        </w:rPr>
        <w:t xml:space="preserve">systematic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r w:rsidRPr="005742AF">
        <w:rPr>
          <w:rFonts w:ascii="Times New Roman" w:hAnsi="Times New Roman" w:cs="Times New Roman"/>
          <w:i/>
          <w:sz w:val="24"/>
          <w:szCs w:val="24"/>
        </w:rPr>
        <w:t>invisible.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Paling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sempurna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investor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terkendali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investor.</w:t>
      </w:r>
      <w:proofErr w:type="gramEnd"/>
    </w:p>
    <w:p w:rsidR="00DF0BC3" w:rsidRDefault="00DF0BC3" w:rsidP="002942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di Indonesia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{"citationItems":[{"id":"ITEM-1","itemData":{"DOI":"10.1111/anae.15180","ISSN":"13652044","PMID":"32534465","abstract":"The COVID-19 pandemic marks an extraordinary global public health crisis unseen in the last century, with its rapid spread worldwide and associated mortality burden. The longevity of the crisis and disruption to normality is unknown. With COVID-19 set to be a chronic health crisis, clinicians will be required to maintain a state of high alert for an extended period. The support received before and during an incident is likely to influence whether clinicians experience psychological growth or injury. An abundance of information is emerging on disease epidemiology, pathogenesis and infection control prevention. However, literature on interventions for supporting the psychological well-being of healthcare workers during disease outbreaks is limited. This article summarises the available management strategies to increase resilience in healthcare workers during the COVID-19 pandemic and beyond. It focuses on self-care and organisational justice. It highlights various individual as well as organisational strategies. With the success of slowing disease spread in many countries to date, and reduced work-load due to limitations on elective surgery in many institutions, there is more time and opportunity to be pro-active in implementing measures to mitigate or minimise potential adverse psychological effects and improve, restore and preserve the well-being of the workforce now and for years to come. The purpose of this review is to review available literature on strategies for minimising the psychological impact of the COVID-19 pandemic on clinicians and to identify pro-active holistic approaches which may be beneficial for healthcare workers both for the current crisis and into the future.","author":[{"dropping-particle":"","family":"Heath","given":"C.","non-dropping-particle":"","parse-names":false,"suffix":""},{"dropping-particle":"","family":"Sommerfield","given":"A.","non-dropping-particle":"","parse-names":false,"suffix":""},{"dropping-particle":"","family":"Ungern-Sternberg","given":"B. S.","non-dropping-particle":"von","parse-names":false,"suffix":""}],"container-title":"Anaesthesia","id":"ITEM-1","issue":"10","issued":{"date-parts":[["2020"]]},"page":"1364-1371","title":"Resilience strategies to manage psychological distress among healthcare workers during the COVID-19 pandemic: a narrative review","type":"article-journal","volume":"75"},"uris":["http://www.mendeley.com/documents/?uuid=db75ae8f-c004-4810-87fa-d2792dd8cb33"]}],"mendeley":{"formattedCitation":"(Heath et al., 2020)","manualFormatting":"Heath et al., (2020)","plainTextFormattedCitation":"(Heath et al., 2020)","previouslyFormattedCitation":"(Heath et al., 2020)"},"properties":{"noteIndex":0},"schema":"https://github.com/citation-style-language/schema/raw/master/csl-citation.json"}</w:instrText>
      </w:r>
      <w:r>
        <w:rPr>
          <w:rFonts w:ascii="Times New Roman" w:hAnsi="Times New Roman" w:cs="Times New Roman"/>
          <w:sz w:val="24"/>
          <w:szCs w:val="24"/>
        </w:rPr>
        <w:fldChar w:fldCharType="separate"/>
      </w:r>
      <w:r w:rsidRPr="005742AF">
        <w:rPr>
          <w:rFonts w:ascii="Times New Roman" w:hAnsi="Times New Roman" w:cs="Times New Roman"/>
          <w:noProof/>
          <w:sz w:val="24"/>
          <w:szCs w:val="24"/>
        </w:rPr>
        <w:t xml:space="preserve">Heath et al., </w:t>
      </w:r>
      <w:r>
        <w:rPr>
          <w:rFonts w:ascii="Times New Roman" w:hAnsi="Times New Roman" w:cs="Times New Roman"/>
          <w:noProof/>
          <w:sz w:val="24"/>
          <w:szCs w:val="24"/>
        </w:rPr>
        <w:t>(</w:t>
      </w:r>
      <w:r w:rsidRPr="005742AF">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perdagangan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dipasar</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investor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kelesuan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investor. </w:t>
      </w:r>
    </w:p>
    <w:p w:rsidR="00DF0BC3" w:rsidRDefault="00DF0BC3" w:rsidP="002942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Zendri</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terdampak</w:t>
      </w:r>
      <w:proofErr w:type="spellEnd"/>
      <w:r>
        <w:rPr>
          <w:rFonts w:ascii="Times New Roman" w:hAnsi="Times New Roman" w:cs="Times New Roman"/>
          <w:sz w:val="24"/>
          <w:szCs w:val="24"/>
        </w:rPr>
        <w:t xml:space="preserve"> pandemic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perhotelan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Pembatasan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perhotelan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pariwisata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investor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
    <w:p w:rsidR="00DF0BC3" w:rsidRDefault="00DF0BC3" w:rsidP="002942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{"citationItems":[{"id":"ITEM-1","itemData":{"DOI":"10.1017/CBO9781107415324.004","ISBN":"9788578110796","ISSN":"1098-6596","PMID":"25246403","author":[{"dropping-particle":"","family":"Brigham","given":"Eugene F.","non-dropping-particle":"","parse-names":false,"suffix":""},{"dropping-particle":"","family":"Houston","given":"Joel F.","non-dropping-particle":"","parse-names":false,"suffix":""}],"edition":"10 Edition","id":"ITEM-1","issued":{"date-parts":[["2017"]]},"publisher":"Ptentice-Hall","publisher-place":"Pearson","title":"Fundamentals of Financial Management","type":"book"},"uris":["http://www.mendeley.com/documents/?uuid=48010be0-d8e7-4c2f-b76a-94f8d5c448bc"]}],"mendeley":{"formattedCitation":"(Brigham &amp; Houston, 2017)","manualFormatting":"Brigham dan Houston (2017)","plainTextFormattedCitation":"(Brigham &amp; Houston, 2017)","previouslyFormattedCitation":"(Brigham &amp; Houston, 2017)"},"properties":{"noteIndex":0},"schema":"https://github.com/citation-style-language/schema/raw/master/csl-citation.json"}</w:instrText>
      </w:r>
      <w:r>
        <w:rPr>
          <w:rFonts w:ascii="Times New Roman" w:hAnsi="Times New Roman" w:cs="Times New Roman"/>
          <w:sz w:val="24"/>
          <w:szCs w:val="24"/>
        </w:rPr>
        <w:fldChar w:fldCharType="separate"/>
      </w:r>
      <w:r w:rsidRPr="003004AE">
        <w:rPr>
          <w:rFonts w:ascii="Times New Roman" w:hAnsi="Times New Roman" w:cs="Times New Roman"/>
          <w:noProof/>
          <w:sz w:val="24"/>
          <w:szCs w:val="24"/>
        </w:rPr>
        <w:t xml:space="preserve">Brigham </w:t>
      </w:r>
      <w:r>
        <w:rPr>
          <w:rFonts w:ascii="Times New Roman" w:hAnsi="Times New Roman" w:cs="Times New Roman"/>
          <w:noProof/>
          <w:sz w:val="24"/>
          <w:szCs w:val="24"/>
        </w:rPr>
        <w:t>dan</w:t>
      </w:r>
      <w:r w:rsidRPr="003004AE">
        <w:rPr>
          <w:rFonts w:ascii="Times New Roman" w:hAnsi="Times New Roman" w:cs="Times New Roman"/>
          <w:noProof/>
          <w:sz w:val="24"/>
          <w:szCs w:val="24"/>
        </w:rPr>
        <w:t xml:space="preserve"> Houston </w:t>
      </w:r>
      <w:r>
        <w:rPr>
          <w:rFonts w:ascii="Times New Roman" w:hAnsi="Times New Roman" w:cs="Times New Roman"/>
          <w:noProof/>
          <w:sz w:val="24"/>
          <w:szCs w:val="24"/>
        </w:rPr>
        <w:t>(</w:t>
      </w:r>
      <w:r w:rsidRPr="003004AE">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selisih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investor.</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cara</w:t>
      </w:r>
      <w:proofErr w:type="spellEnd"/>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adalah</w:t>
      </w:r>
      <w:proofErr w:type="spellEnd"/>
      <w:r>
        <w:rPr>
          <w:rFonts w:ascii="Times New Roman" w:hAnsi="Times New Roman" w:cs="Times New Roman"/>
          <w:sz w:val="24"/>
          <w:szCs w:val="24"/>
        </w:rPr>
        <w:t xml:space="preserve"> beta </w:t>
      </w:r>
      <w:proofErr w:type="spellStart"/>
      <w:r>
        <w:rPr>
          <w:rFonts w:ascii="Times New Roman" w:hAnsi="Times New Roman" w:cs="Times New Roman"/>
          <w:sz w:val="24"/>
          <w:szCs w:val="24"/>
        </w:rPr>
        <w:t>pasar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{"citationItems":[{"id":"ITEM-1","itemData":{"DOI":"10.1108/jeas-07-2020-0116","ISSN":"1026-4116","abstract":"Purpose This paper aims to show how overconfidence influences the decisions and performance of individual investors trading on the Pakistan Stock Exchange (PSX), with the mediating role of risk perception and moderating role of financial literacy.","author":[{"dropping-particle":"","family":"Ahmad","given":"Maqsood","non-dropping-particle":"","parse-names":false,"suffix":""},{"dropping-particle":"","family":"Shah","given":"Syed Zulfiqar Ali","non-dropping-particle":"","parse-names":false,"suffix":""}],"container-title":"Journal of Economic and Administrative Sciences","id":"ITEM-1","issue":"1","issued":{"date-parts":[["2020"]]},"page":"60-90","title":"Overconfidence heuristic-driven bias in investment decision-making and performance: mediating effects of risk perception and moderating effects of financial literacy","type":"article-journal","volume":"38"},"uris":["http://www.mendeley.com/documents/?uuid=2fc85ff9-e89e-445c-b92f-2029ac997dfd"]}],"mendeley":{"formattedCitation":"(Ahmad &amp; Shah, 2020)","manualFormatting":"Ahmad dan Shah (2020)","plainTextFormattedCitation":"(Ahmad &amp; Shah, 2020)","previouslyFormattedCitation":"(Ahmad &amp; Shah, 2020)"},"properties":{"noteIndex":0},"schema":"https://github.com/citation-style-language/schema/raw/master/csl-citation.json"}</w:instrText>
      </w:r>
      <w:r>
        <w:rPr>
          <w:rFonts w:ascii="Times New Roman" w:hAnsi="Times New Roman" w:cs="Times New Roman"/>
          <w:sz w:val="24"/>
          <w:szCs w:val="24"/>
        </w:rPr>
        <w:fldChar w:fldCharType="separate"/>
      </w:r>
      <w:r w:rsidRPr="00E90A3B">
        <w:rPr>
          <w:rFonts w:ascii="Times New Roman" w:hAnsi="Times New Roman" w:cs="Times New Roman"/>
          <w:noProof/>
          <w:sz w:val="24"/>
          <w:szCs w:val="24"/>
        </w:rPr>
        <w:t xml:space="preserve">Ahmad </w:t>
      </w:r>
      <w:r>
        <w:rPr>
          <w:rFonts w:ascii="Times New Roman" w:hAnsi="Times New Roman" w:cs="Times New Roman"/>
          <w:noProof/>
          <w:sz w:val="24"/>
          <w:szCs w:val="24"/>
        </w:rPr>
        <w:t>dan</w:t>
      </w:r>
      <w:r w:rsidRPr="00E90A3B">
        <w:rPr>
          <w:rFonts w:ascii="Times New Roman" w:hAnsi="Times New Roman" w:cs="Times New Roman"/>
          <w:noProof/>
          <w:sz w:val="24"/>
          <w:szCs w:val="24"/>
        </w:rPr>
        <w:t xml:space="preserve"> Shah </w:t>
      </w:r>
      <w:r>
        <w:rPr>
          <w:rFonts w:ascii="Times New Roman" w:hAnsi="Times New Roman" w:cs="Times New Roman"/>
          <w:noProof/>
          <w:sz w:val="24"/>
          <w:szCs w:val="24"/>
        </w:rPr>
        <w:t>(</w:t>
      </w:r>
      <w:r w:rsidRPr="00E90A3B">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beta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investor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perusahaan. </w:t>
      </w:r>
    </w:p>
    <w:p w:rsidR="003364F5" w:rsidRDefault="003364F5" w:rsidP="002942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Investor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w:t>
      </w:r>
      <w:proofErr w:type="gramEnd"/>
    </w:p>
    <w:p w:rsidR="00357A73" w:rsidRDefault="00357A73" w:rsidP="0029420A">
      <w:pPr>
        <w:spacing w:after="0" w:line="240" w:lineRule="auto"/>
        <w:jc w:val="both"/>
        <w:rPr>
          <w:rFonts w:ascii="Times New Roman" w:hAnsi="Times New Roman" w:cs="Times New Roman"/>
          <w:sz w:val="24"/>
          <w:szCs w:val="24"/>
        </w:rPr>
      </w:pPr>
    </w:p>
    <w:p w:rsidR="00DF0BC3" w:rsidRPr="0029420A" w:rsidRDefault="00DF0BC3" w:rsidP="0029420A">
      <w:pPr>
        <w:spacing w:after="0" w:line="240" w:lineRule="auto"/>
        <w:jc w:val="both"/>
        <w:rPr>
          <w:rFonts w:ascii="Times New Roman" w:hAnsi="Times New Roman" w:cs="Times New Roman"/>
          <w:b/>
          <w:sz w:val="24"/>
          <w:szCs w:val="24"/>
        </w:rPr>
      </w:pPr>
      <w:r w:rsidRPr="0029420A">
        <w:rPr>
          <w:rFonts w:ascii="Times New Roman" w:hAnsi="Times New Roman" w:cs="Times New Roman"/>
          <w:b/>
          <w:sz w:val="24"/>
          <w:szCs w:val="24"/>
        </w:rPr>
        <w:t>METODE</w:t>
      </w:r>
    </w:p>
    <w:p w:rsidR="00DF0BC3" w:rsidRDefault="0029420A" w:rsidP="002942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sidR="00DF0BC3">
        <w:rPr>
          <w:rFonts w:ascii="Times New Roman" w:hAnsi="Times New Roman" w:cs="Times New Roman"/>
          <w:sz w:val="24"/>
          <w:szCs w:val="24"/>
        </w:rPr>
        <w:t>Penelitian</w:t>
      </w:r>
      <w:proofErr w:type="spellEnd"/>
      <w:r w:rsidR="00DF0BC3">
        <w:rPr>
          <w:rFonts w:ascii="Times New Roman" w:hAnsi="Times New Roman" w:cs="Times New Roman"/>
          <w:sz w:val="24"/>
          <w:szCs w:val="24"/>
        </w:rPr>
        <w:t xml:space="preserve"> </w:t>
      </w:r>
      <w:proofErr w:type="spellStart"/>
      <w:r w:rsidR="00DF0BC3">
        <w:rPr>
          <w:rFonts w:ascii="Times New Roman" w:hAnsi="Times New Roman" w:cs="Times New Roman"/>
          <w:sz w:val="24"/>
          <w:szCs w:val="24"/>
        </w:rPr>
        <w:t>ini</w:t>
      </w:r>
      <w:proofErr w:type="spellEnd"/>
      <w:r w:rsidR="00DF0BC3">
        <w:rPr>
          <w:rFonts w:ascii="Times New Roman" w:hAnsi="Times New Roman" w:cs="Times New Roman"/>
          <w:sz w:val="24"/>
          <w:szCs w:val="24"/>
        </w:rPr>
        <w:t xml:space="preserve"> </w:t>
      </w:r>
      <w:proofErr w:type="spellStart"/>
      <w:r w:rsidR="00DF0BC3">
        <w:rPr>
          <w:rFonts w:ascii="Times New Roman" w:hAnsi="Times New Roman" w:cs="Times New Roman"/>
          <w:sz w:val="24"/>
          <w:szCs w:val="24"/>
        </w:rPr>
        <w:t>merupakan</w:t>
      </w:r>
      <w:proofErr w:type="spellEnd"/>
      <w:r w:rsidR="00DF0BC3">
        <w:rPr>
          <w:rFonts w:ascii="Times New Roman" w:hAnsi="Times New Roman" w:cs="Times New Roman"/>
          <w:sz w:val="24"/>
          <w:szCs w:val="24"/>
        </w:rPr>
        <w:t xml:space="preserve"> </w:t>
      </w:r>
      <w:proofErr w:type="spellStart"/>
      <w:r w:rsidR="00DF0BC3">
        <w:rPr>
          <w:rFonts w:ascii="Times New Roman" w:hAnsi="Times New Roman" w:cs="Times New Roman"/>
          <w:sz w:val="24"/>
          <w:szCs w:val="24"/>
        </w:rPr>
        <w:t>penelitian</w:t>
      </w:r>
      <w:proofErr w:type="spellEnd"/>
      <w:r w:rsidR="00DF0BC3">
        <w:rPr>
          <w:rFonts w:ascii="Times New Roman" w:hAnsi="Times New Roman" w:cs="Times New Roman"/>
          <w:sz w:val="24"/>
          <w:szCs w:val="24"/>
        </w:rPr>
        <w:t xml:space="preserve"> </w:t>
      </w:r>
      <w:proofErr w:type="spellStart"/>
      <w:r w:rsidR="00DF0BC3">
        <w:rPr>
          <w:rFonts w:ascii="Times New Roman" w:hAnsi="Times New Roman" w:cs="Times New Roman"/>
          <w:sz w:val="24"/>
          <w:szCs w:val="24"/>
        </w:rPr>
        <w:t>kuantitatif</w:t>
      </w:r>
      <w:proofErr w:type="spellEnd"/>
      <w:r w:rsidR="00DF0BC3">
        <w:rPr>
          <w:rFonts w:ascii="Times New Roman" w:hAnsi="Times New Roman" w:cs="Times New Roman"/>
          <w:sz w:val="24"/>
          <w:szCs w:val="24"/>
        </w:rPr>
        <w:t xml:space="preserve">, yang </w:t>
      </w:r>
      <w:proofErr w:type="spellStart"/>
      <w:r w:rsidR="00DF0BC3">
        <w:rPr>
          <w:rFonts w:ascii="Times New Roman" w:hAnsi="Times New Roman" w:cs="Times New Roman"/>
          <w:sz w:val="24"/>
          <w:szCs w:val="24"/>
        </w:rPr>
        <w:t>dilakukan</w:t>
      </w:r>
      <w:proofErr w:type="spellEnd"/>
      <w:r w:rsidR="00DF0BC3">
        <w:rPr>
          <w:rFonts w:ascii="Times New Roman" w:hAnsi="Times New Roman" w:cs="Times New Roman"/>
          <w:sz w:val="24"/>
          <w:szCs w:val="24"/>
        </w:rPr>
        <w:t xml:space="preserve"> </w:t>
      </w:r>
      <w:proofErr w:type="spellStart"/>
      <w:r w:rsidR="00DF0BC3">
        <w:rPr>
          <w:rFonts w:ascii="Times New Roman" w:hAnsi="Times New Roman" w:cs="Times New Roman"/>
          <w:sz w:val="24"/>
          <w:szCs w:val="24"/>
        </w:rPr>
        <w:t>pada</w:t>
      </w:r>
      <w:proofErr w:type="spellEnd"/>
      <w:r w:rsidR="00DF0BC3">
        <w:rPr>
          <w:rFonts w:ascii="Times New Roman" w:hAnsi="Times New Roman" w:cs="Times New Roman"/>
          <w:sz w:val="24"/>
          <w:szCs w:val="24"/>
        </w:rPr>
        <w:t xml:space="preserve"> </w:t>
      </w:r>
      <w:proofErr w:type="spellStart"/>
      <w:r w:rsidR="00DF0BC3">
        <w:rPr>
          <w:rFonts w:ascii="Times New Roman" w:hAnsi="Times New Roman" w:cs="Times New Roman"/>
          <w:sz w:val="24"/>
          <w:szCs w:val="24"/>
        </w:rPr>
        <w:t>perushaan</w:t>
      </w:r>
      <w:proofErr w:type="spellEnd"/>
      <w:r w:rsidR="00DF0BC3">
        <w:rPr>
          <w:rFonts w:ascii="Times New Roman" w:hAnsi="Times New Roman" w:cs="Times New Roman"/>
          <w:sz w:val="24"/>
          <w:szCs w:val="24"/>
        </w:rPr>
        <w:t xml:space="preserve"> </w:t>
      </w:r>
      <w:proofErr w:type="spellStart"/>
      <w:r w:rsidR="00DF0BC3">
        <w:rPr>
          <w:rFonts w:ascii="Times New Roman" w:hAnsi="Times New Roman" w:cs="Times New Roman"/>
          <w:sz w:val="24"/>
          <w:szCs w:val="24"/>
        </w:rPr>
        <w:t>sektor</w:t>
      </w:r>
      <w:proofErr w:type="spellEnd"/>
      <w:r w:rsidR="00DF0BC3">
        <w:rPr>
          <w:rFonts w:ascii="Times New Roman" w:hAnsi="Times New Roman" w:cs="Times New Roman"/>
          <w:sz w:val="24"/>
          <w:szCs w:val="24"/>
        </w:rPr>
        <w:t xml:space="preserve"> </w:t>
      </w:r>
      <w:proofErr w:type="spellStart"/>
      <w:r w:rsidR="00DF0BC3">
        <w:rPr>
          <w:rFonts w:ascii="Times New Roman" w:hAnsi="Times New Roman" w:cs="Times New Roman"/>
          <w:sz w:val="24"/>
          <w:szCs w:val="24"/>
        </w:rPr>
        <w:t>jasa</w:t>
      </w:r>
      <w:proofErr w:type="spellEnd"/>
      <w:r w:rsidR="00DF0BC3">
        <w:rPr>
          <w:rFonts w:ascii="Times New Roman" w:hAnsi="Times New Roman" w:cs="Times New Roman"/>
          <w:sz w:val="24"/>
          <w:szCs w:val="24"/>
        </w:rPr>
        <w:t xml:space="preserve"> </w:t>
      </w:r>
      <w:proofErr w:type="spellStart"/>
      <w:r w:rsidR="00DF0BC3">
        <w:rPr>
          <w:rFonts w:ascii="Times New Roman" w:hAnsi="Times New Roman" w:cs="Times New Roman"/>
          <w:sz w:val="24"/>
          <w:szCs w:val="24"/>
        </w:rPr>
        <w:t>perhotelan</w:t>
      </w:r>
      <w:proofErr w:type="spellEnd"/>
      <w:r w:rsidR="00DF0BC3">
        <w:rPr>
          <w:rFonts w:ascii="Times New Roman" w:hAnsi="Times New Roman" w:cs="Times New Roman"/>
          <w:sz w:val="24"/>
          <w:szCs w:val="24"/>
        </w:rPr>
        <w:t xml:space="preserve">, </w:t>
      </w:r>
      <w:proofErr w:type="spellStart"/>
      <w:r w:rsidR="00DF0BC3">
        <w:rPr>
          <w:rFonts w:ascii="Times New Roman" w:hAnsi="Times New Roman" w:cs="Times New Roman"/>
          <w:sz w:val="24"/>
          <w:szCs w:val="24"/>
        </w:rPr>
        <w:t>restoran</w:t>
      </w:r>
      <w:proofErr w:type="spellEnd"/>
      <w:r w:rsidR="00DF0BC3">
        <w:rPr>
          <w:rFonts w:ascii="Times New Roman" w:hAnsi="Times New Roman" w:cs="Times New Roman"/>
          <w:sz w:val="24"/>
          <w:szCs w:val="24"/>
        </w:rPr>
        <w:t xml:space="preserve"> </w:t>
      </w:r>
      <w:proofErr w:type="spellStart"/>
      <w:r w:rsidR="00DF0BC3">
        <w:rPr>
          <w:rFonts w:ascii="Times New Roman" w:hAnsi="Times New Roman" w:cs="Times New Roman"/>
          <w:sz w:val="24"/>
          <w:szCs w:val="24"/>
        </w:rPr>
        <w:t>dan</w:t>
      </w:r>
      <w:proofErr w:type="spellEnd"/>
      <w:r w:rsidR="00DF0BC3">
        <w:rPr>
          <w:rFonts w:ascii="Times New Roman" w:hAnsi="Times New Roman" w:cs="Times New Roman"/>
          <w:sz w:val="24"/>
          <w:szCs w:val="24"/>
        </w:rPr>
        <w:t xml:space="preserve"> </w:t>
      </w:r>
      <w:proofErr w:type="spellStart"/>
      <w:r w:rsidR="00DF0BC3">
        <w:rPr>
          <w:rFonts w:ascii="Times New Roman" w:hAnsi="Times New Roman" w:cs="Times New Roman"/>
          <w:sz w:val="24"/>
          <w:szCs w:val="24"/>
        </w:rPr>
        <w:t>perhotelan</w:t>
      </w:r>
      <w:proofErr w:type="spellEnd"/>
      <w:r w:rsidR="00DF0BC3">
        <w:rPr>
          <w:rFonts w:ascii="Times New Roman" w:hAnsi="Times New Roman" w:cs="Times New Roman"/>
          <w:sz w:val="24"/>
          <w:szCs w:val="24"/>
        </w:rPr>
        <w:t xml:space="preserve"> di Bursa </w:t>
      </w:r>
      <w:proofErr w:type="spellStart"/>
      <w:r w:rsidR="00DF0BC3">
        <w:rPr>
          <w:rFonts w:ascii="Times New Roman" w:hAnsi="Times New Roman" w:cs="Times New Roman"/>
          <w:sz w:val="24"/>
          <w:szCs w:val="24"/>
        </w:rPr>
        <w:t>Efek</w:t>
      </w:r>
      <w:proofErr w:type="spellEnd"/>
      <w:r w:rsidR="00DF0BC3">
        <w:rPr>
          <w:rFonts w:ascii="Times New Roman" w:hAnsi="Times New Roman" w:cs="Times New Roman"/>
          <w:sz w:val="24"/>
          <w:szCs w:val="24"/>
        </w:rPr>
        <w:t xml:space="preserve"> </w:t>
      </w:r>
      <w:proofErr w:type="spellStart"/>
      <w:r w:rsidR="00DF0BC3">
        <w:rPr>
          <w:rFonts w:ascii="Times New Roman" w:hAnsi="Times New Roman" w:cs="Times New Roman"/>
          <w:sz w:val="24"/>
          <w:szCs w:val="24"/>
        </w:rPr>
        <w:t>Indonesi</w:t>
      </w:r>
      <w:proofErr w:type="spellEnd"/>
      <w:r w:rsidR="00DF0BC3">
        <w:rPr>
          <w:rFonts w:ascii="Times New Roman" w:hAnsi="Times New Roman" w:cs="Times New Roman"/>
          <w:sz w:val="24"/>
          <w:szCs w:val="24"/>
        </w:rPr>
        <w:t>.</w:t>
      </w:r>
      <w:proofErr w:type="gramEnd"/>
      <w:r w:rsidR="00DF0BC3">
        <w:rPr>
          <w:rFonts w:ascii="Times New Roman" w:hAnsi="Times New Roman" w:cs="Times New Roman"/>
          <w:sz w:val="24"/>
          <w:szCs w:val="24"/>
        </w:rPr>
        <w:t xml:space="preserve"> Data yang </w:t>
      </w:r>
      <w:proofErr w:type="spellStart"/>
      <w:r w:rsidR="00DF0BC3">
        <w:rPr>
          <w:rFonts w:ascii="Times New Roman" w:hAnsi="Times New Roman" w:cs="Times New Roman"/>
          <w:sz w:val="24"/>
          <w:szCs w:val="24"/>
        </w:rPr>
        <w:t>digunakan</w:t>
      </w:r>
      <w:proofErr w:type="spellEnd"/>
      <w:r w:rsidR="00DF0BC3">
        <w:rPr>
          <w:rFonts w:ascii="Times New Roman" w:hAnsi="Times New Roman" w:cs="Times New Roman"/>
          <w:sz w:val="24"/>
          <w:szCs w:val="24"/>
        </w:rPr>
        <w:t xml:space="preserve"> </w:t>
      </w:r>
      <w:proofErr w:type="spellStart"/>
      <w:r w:rsidR="00DF0BC3">
        <w:rPr>
          <w:rFonts w:ascii="Times New Roman" w:hAnsi="Times New Roman" w:cs="Times New Roman"/>
          <w:sz w:val="24"/>
          <w:szCs w:val="24"/>
        </w:rPr>
        <w:t>adalah</w:t>
      </w:r>
      <w:proofErr w:type="spellEnd"/>
      <w:r w:rsidR="00DF0BC3">
        <w:rPr>
          <w:rFonts w:ascii="Times New Roman" w:hAnsi="Times New Roman" w:cs="Times New Roman"/>
          <w:sz w:val="24"/>
          <w:szCs w:val="24"/>
        </w:rPr>
        <w:t xml:space="preserve"> </w:t>
      </w:r>
      <w:proofErr w:type="spellStart"/>
      <w:r w:rsidR="00DF0BC3">
        <w:rPr>
          <w:rFonts w:ascii="Times New Roman" w:hAnsi="Times New Roman" w:cs="Times New Roman"/>
          <w:sz w:val="24"/>
          <w:szCs w:val="24"/>
        </w:rPr>
        <w:t>periode</w:t>
      </w:r>
      <w:proofErr w:type="spellEnd"/>
      <w:r w:rsidR="00DF0BC3">
        <w:rPr>
          <w:rFonts w:ascii="Times New Roman" w:hAnsi="Times New Roman" w:cs="Times New Roman"/>
          <w:sz w:val="24"/>
          <w:szCs w:val="24"/>
        </w:rPr>
        <w:t xml:space="preserve"> </w:t>
      </w:r>
      <w:proofErr w:type="spellStart"/>
      <w:proofErr w:type="gramStart"/>
      <w:r w:rsidR="00DF0BC3">
        <w:rPr>
          <w:rFonts w:ascii="Times New Roman" w:hAnsi="Times New Roman" w:cs="Times New Roman"/>
          <w:sz w:val="24"/>
          <w:szCs w:val="24"/>
        </w:rPr>
        <w:t>setelah</w:t>
      </w:r>
      <w:proofErr w:type="spellEnd"/>
      <w:r w:rsidR="00DF0BC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pandemi</w:t>
      </w:r>
      <w:proofErr w:type="spellEnd"/>
      <w:proofErr w:type="gram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Covid</w:t>
      </w:r>
      <w:proofErr w:type="spellEnd"/>
      <w:r w:rsidR="00357A73">
        <w:rPr>
          <w:rFonts w:ascii="Times New Roman" w:hAnsi="Times New Roman" w:cs="Times New Roman"/>
          <w:sz w:val="24"/>
          <w:szCs w:val="24"/>
        </w:rPr>
        <w:t xml:space="preserve"> 19 </w:t>
      </w:r>
      <w:proofErr w:type="spellStart"/>
      <w:r w:rsidR="00357A73">
        <w:rPr>
          <w:rFonts w:ascii="Times New Roman" w:hAnsi="Times New Roman" w:cs="Times New Roman"/>
          <w:sz w:val="24"/>
          <w:szCs w:val="24"/>
        </w:rPr>
        <w:t>dari</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tahun</w:t>
      </w:r>
      <w:proofErr w:type="spellEnd"/>
      <w:r w:rsidR="00357A73">
        <w:rPr>
          <w:rFonts w:ascii="Times New Roman" w:hAnsi="Times New Roman" w:cs="Times New Roman"/>
          <w:sz w:val="24"/>
          <w:szCs w:val="24"/>
        </w:rPr>
        <w:t xml:space="preserve"> 2021 </w:t>
      </w:r>
      <w:proofErr w:type="spellStart"/>
      <w:r w:rsidR="00357A73">
        <w:rPr>
          <w:rFonts w:ascii="Times New Roman" w:hAnsi="Times New Roman" w:cs="Times New Roman"/>
          <w:sz w:val="24"/>
          <w:szCs w:val="24"/>
        </w:rPr>
        <w:t>sampai</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dengan</w:t>
      </w:r>
      <w:proofErr w:type="spellEnd"/>
      <w:r w:rsidR="00357A73">
        <w:rPr>
          <w:rFonts w:ascii="Times New Roman" w:hAnsi="Times New Roman" w:cs="Times New Roman"/>
          <w:sz w:val="24"/>
          <w:szCs w:val="24"/>
        </w:rPr>
        <w:t xml:space="preserve"> 2022. </w:t>
      </w:r>
      <w:proofErr w:type="spellStart"/>
      <w:proofErr w:type="gramStart"/>
      <w:r w:rsidR="00357A73">
        <w:rPr>
          <w:rFonts w:ascii="Times New Roman" w:hAnsi="Times New Roman" w:cs="Times New Roman"/>
          <w:sz w:val="24"/>
          <w:szCs w:val="24"/>
        </w:rPr>
        <w:t>Pada</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penelitian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ini</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variabel</w:t>
      </w:r>
      <w:proofErr w:type="spellEnd"/>
      <w:r w:rsidR="00357A73">
        <w:rPr>
          <w:rFonts w:ascii="Times New Roman" w:hAnsi="Times New Roman" w:cs="Times New Roman"/>
          <w:sz w:val="24"/>
          <w:szCs w:val="24"/>
        </w:rPr>
        <w:t xml:space="preserve"> yang </w:t>
      </w:r>
      <w:proofErr w:type="spellStart"/>
      <w:r w:rsidR="00357A73">
        <w:rPr>
          <w:rFonts w:ascii="Times New Roman" w:hAnsi="Times New Roman" w:cs="Times New Roman"/>
          <w:sz w:val="24"/>
          <w:szCs w:val="24"/>
        </w:rPr>
        <w:t>digunakan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adalah</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variabel</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dependen</w:t>
      </w:r>
      <w:proofErr w:type="spellEnd"/>
      <w:r w:rsidR="00357A73">
        <w:rPr>
          <w:rFonts w:ascii="Times New Roman" w:hAnsi="Times New Roman" w:cs="Times New Roman"/>
          <w:sz w:val="24"/>
          <w:szCs w:val="24"/>
        </w:rPr>
        <w:t xml:space="preserve"> yang </w:t>
      </w:r>
      <w:proofErr w:type="spellStart"/>
      <w:r w:rsidR="00357A73">
        <w:rPr>
          <w:rFonts w:ascii="Times New Roman" w:hAnsi="Times New Roman" w:cs="Times New Roman"/>
          <w:sz w:val="24"/>
          <w:szCs w:val="24"/>
        </w:rPr>
        <w:t>diukur</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dengan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risiko</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investasi</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sedangkan</w:t>
      </w:r>
      <w:proofErr w:type="spellEnd"/>
      <w:r w:rsidR="00357A73">
        <w:rPr>
          <w:rFonts w:ascii="Times New Roman" w:hAnsi="Times New Roman" w:cs="Times New Roman"/>
          <w:sz w:val="24"/>
          <w:szCs w:val="24"/>
        </w:rPr>
        <w:t xml:space="preserve"> yang </w:t>
      </w:r>
      <w:proofErr w:type="spellStart"/>
      <w:r w:rsidR="00357A73">
        <w:rPr>
          <w:rFonts w:ascii="Times New Roman" w:hAnsi="Times New Roman" w:cs="Times New Roman"/>
          <w:sz w:val="24"/>
          <w:szCs w:val="24"/>
        </w:rPr>
        <w:t>menjadi</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variabel</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independen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adalah</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ukuran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dewan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komisaris</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proporsi</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dewan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komisaris</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independen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keberadaan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perempuan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dalam</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dewan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komisaris</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dan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kepemilikan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pablik</w:t>
      </w:r>
      <w:proofErr w:type="spellEnd"/>
      <w:r w:rsidR="00357A73">
        <w:rPr>
          <w:rFonts w:ascii="Times New Roman" w:hAnsi="Times New Roman" w:cs="Times New Roman"/>
          <w:sz w:val="24"/>
          <w:szCs w:val="24"/>
        </w:rPr>
        <w:t>.</w:t>
      </w:r>
      <w:proofErr w:type="gramEnd"/>
      <w:r w:rsidR="00357A73">
        <w:rPr>
          <w:rFonts w:ascii="Times New Roman" w:hAnsi="Times New Roman" w:cs="Times New Roman"/>
          <w:sz w:val="24"/>
          <w:szCs w:val="24"/>
        </w:rPr>
        <w:t xml:space="preserve"> </w:t>
      </w:r>
      <w:proofErr w:type="spellStart"/>
      <w:proofErr w:type="gramStart"/>
      <w:r w:rsidR="00357A73">
        <w:rPr>
          <w:rFonts w:ascii="Times New Roman" w:hAnsi="Times New Roman" w:cs="Times New Roman"/>
          <w:sz w:val="24"/>
          <w:szCs w:val="24"/>
        </w:rPr>
        <w:t>Metode</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analisis</w:t>
      </w:r>
      <w:proofErr w:type="spellEnd"/>
      <w:r w:rsidR="00357A73">
        <w:rPr>
          <w:rFonts w:ascii="Times New Roman" w:hAnsi="Times New Roman" w:cs="Times New Roman"/>
          <w:sz w:val="24"/>
          <w:szCs w:val="24"/>
        </w:rPr>
        <w:t xml:space="preserve"> data yang </w:t>
      </w:r>
      <w:proofErr w:type="spellStart"/>
      <w:r w:rsidR="00357A73">
        <w:rPr>
          <w:rFonts w:ascii="Times New Roman" w:hAnsi="Times New Roman" w:cs="Times New Roman"/>
          <w:sz w:val="24"/>
          <w:szCs w:val="24"/>
        </w:rPr>
        <w:t>digunakan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adalah</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regresi</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berganda</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dan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pengujian</w:t>
      </w:r>
      <w:proofErr w:type="spellEnd"/>
      <w:r w:rsidR="00357A73">
        <w:rPr>
          <w:rFonts w:ascii="Times New Roman" w:hAnsi="Times New Roman" w:cs="Times New Roman"/>
          <w:sz w:val="24"/>
          <w:szCs w:val="24"/>
        </w:rPr>
        <w:t xml:space="preserve"> t-</w:t>
      </w:r>
      <w:proofErr w:type="spellStart"/>
      <w:r w:rsidR="00357A73">
        <w:rPr>
          <w:rFonts w:ascii="Times New Roman" w:hAnsi="Times New Roman" w:cs="Times New Roman"/>
          <w:sz w:val="24"/>
          <w:szCs w:val="24"/>
        </w:rPr>
        <w:t>statistik</w:t>
      </w:r>
      <w:proofErr w:type="spellEnd"/>
      <w:r w:rsidR="00357A73">
        <w:rPr>
          <w:rFonts w:ascii="Times New Roman" w:hAnsi="Times New Roman" w:cs="Times New Roman"/>
          <w:sz w:val="24"/>
          <w:szCs w:val="24"/>
        </w:rPr>
        <w:t>.</w:t>
      </w:r>
      <w:proofErr w:type="gramEnd"/>
      <w:r w:rsidR="00357A73">
        <w:rPr>
          <w:rFonts w:ascii="Times New Roman" w:hAnsi="Times New Roman" w:cs="Times New Roman"/>
          <w:sz w:val="24"/>
          <w:szCs w:val="24"/>
        </w:rPr>
        <w:t xml:space="preserve"> Proses </w:t>
      </w:r>
      <w:proofErr w:type="spellStart"/>
      <w:r w:rsidR="00357A73">
        <w:rPr>
          <w:rFonts w:ascii="Times New Roman" w:hAnsi="Times New Roman" w:cs="Times New Roman"/>
          <w:sz w:val="24"/>
          <w:szCs w:val="24"/>
        </w:rPr>
        <w:t>pengolahan</w:t>
      </w:r>
      <w:proofErr w:type="spellEnd"/>
      <w:r w:rsidR="00357A73">
        <w:rPr>
          <w:rFonts w:ascii="Times New Roman" w:hAnsi="Times New Roman" w:cs="Times New Roman"/>
          <w:sz w:val="24"/>
          <w:szCs w:val="24"/>
        </w:rPr>
        <w:t xml:space="preserve"> data </w:t>
      </w:r>
      <w:proofErr w:type="spellStart"/>
      <w:r w:rsidR="00357A73">
        <w:rPr>
          <w:rFonts w:ascii="Times New Roman" w:hAnsi="Times New Roman" w:cs="Times New Roman"/>
          <w:sz w:val="24"/>
          <w:szCs w:val="24"/>
        </w:rPr>
        <w:t>dilakukan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dengan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menggunakan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bantuan</w:t>
      </w:r>
      <w:proofErr w:type="spellEnd"/>
      <w:r w:rsidR="00357A73">
        <w:rPr>
          <w:rFonts w:ascii="Times New Roman" w:hAnsi="Times New Roman" w:cs="Times New Roman"/>
          <w:sz w:val="24"/>
          <w:szCs w:val="24"/>
        </w:rPr>
        <w:t xml:space="preserve"> program SPSS.</w:t>
      </w:r>
    </w:p>
    <w:p w:rsidR="00357A73" w:rsidRDefault="0029420A" w:rsidP="002942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57A73">
        <w:rPr>
          <w:rFonts w:ascii="Times New Roman" w:hAnsi="Times New Roman" w:cs="Times New Roman"/>
          <w:sz w:val="24"/>
          <w:szCs w:val="24"/>
        </w:rPr>
        <w:t xml:space="preserve">Proses </w:t>
      </w:r>
      <w:proofErr w:type="spellStart"/>
      <w:r w:rsidR="00357A73">
        <w:rPr>
          <w:rFonts w:ascii="Times New Roman" w:hAnsi="Times New Roman" w:cs="Times New Roman"/>
          <w:sz w:val="24"/>
          <w:szCs w:val="24"/>
        </w:rPr>
        <w:t>analisis</w:t>
      </w:r>
      <w:proofErr w:type="spellEnd"/>
      <w:r w:rsidR="00357A73">
        <w:rPr>
          <w:rFonts w:ascii="Times New Roman" w:hAnsi="Times New Roman" w:cs="Times New Roman"/>
          <w:sz w:val="24"/>
          <w:szCs w:val="24"/>
        </w:rPr>
        <w:t xml:space="preserve"> data </w:t>
      </w:r>
      <w:proofErr w:type="spellStart"/>
      <w:r w:rsidR="00357A73">
        <w:rPr>
          <w:rFonts w:ascii="Times New Roman" w:hAnsi="Times New Roman" w:cs="Times New Roman"/>
          <w:sz w:val="24"/>
          <w:szCs w:val="24"/>
        </w:rPr>
        <w:t>dilakukan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dengan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melakukan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analisis</w:t>
      </w:r>
      <w:proofErr w:type="spellEnd"/>
      <w:r w:rsidR="00357A73">
        <w:rPr>
          <w:rFonts w:ascii="Times New Roman" w:hAnsi="Times New Roman" w:cs="Times New Roman"/>
          <w:sz w:val="24"/>
          <w:szCs w:val="24"/>
        </w:rPr>
        <w:t xml:space="preserve"> outlier, </w:t>
      </w:r>
      <w:proofErr w:type="spellStart"/>
      <w:r w:rsidR="00357A73">
        <w:rPr>
          <w:rFonts w:ascii="Times New Roman" w:hAnsi="Times New Roman" w:cs="Times New Roman"/>
          <w:sz w:val="24"/>
          <w:szCs w:val="24"/>
        </w:rPr>
        <w:t>pengjian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asumsi</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klasik</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yaitu</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terdiri</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dari</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pengujian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normalitas</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pengujian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multikolinearitas</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penguijan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autokorelasi</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dan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pengujian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heteroskedastisitas</w:t>
      </w:r>
      <w:proofErr w:type="spellEnd"/>
      <w:r w:rsidR="00357A73">
        <w:rPr>
          <w:rFonts w:ascii="Times New Roman" w:hAnsi="Times New Roman" w:cs="Times New Roman"/>
          <w:sz w:val="24"/>
          <w:szCs w:val="24"/>
        </w:rPr>
        <w:t xml:space="preserve">. </w:t>
      </w:r>
      <w:proofErr w:type="spellStart"/>
      <w:proofErr w:type="gramStart"/>
      <w:r w:rsidR="00357A73">
        <w:rPr>
          <w:rFonts w:ascii="Times New Roman" w:hAnsi="Times New Roman" w:cs="Times New Roman"/>
          <w:sz w:val="24"/>
          <w:szCs w:val="24"/>
        </w:rPr>
        <w:t>Setelah</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prosedur</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tersebut</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terpenuhi</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maka</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analisis</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regresi</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berganda</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dapat</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dilakukan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sednagkan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pengujian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hipotesis</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dilakukan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dengan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menggunakan</w:t>
      </w:r>
      <w:proofErr w:type="spellEnd"/>
      <w:r w:rsidR="00357A73">
        <w:rPr>
          <w:rFonts w:ascii="Times New Roman" w:hAnsi="Times New Roman" w:cs="Times New Roman"/>
          <w:sz w:val="24"/>
          <w:szCs w:val="24"/>
        </w:rPr>
        <w:t xml:space="preserve"> </w:t>
      </w:r>
      <w:proofErr w:type="spellStart"/>
      <w:r w:rsidR="00357A73">
        <w:rPr>
          <w:rFonts w:ascii="Times New Roman" w:hAnsi="Times New Roman" w:cs="Times New Roman"/>
          <w:sz w:val="24"/>
          <w:szCs w:val="24"/>
        </w:rPr>
        <w:t>uji</w:t>
      </w:r>
      <w:proofErr w:type="spellEnd"/>
      <w:r w:rsidR="00357A73">
        <w:rPr>
          <w:rFonts w:ascii="Times New Roman" w:hAnsi="Times New Roman" w:cs="Times New Roman"/>
          <w:sz w:val="24"/>
          <w:szCs w:val="24"/>
        </w:rPr>
        <w:t xml:space="preserve"> t-</w:t>
      </w:r>
      <w:proofErr w:type="spellStart"/>
      <w:r w:rsidR="00357A73">
        <w:rPr>
          <w:rFonts w:ascii="Times New Roman" w:hAnsi="Times New Roman" w:cs="Times New Roman"/>
          <w:sz w:val="24"/>
          <w:szCs w:val="24"/>
        </w:rPr>
        <w:t>statistik</w:t>
      </w:r>
      <w:proofErr w:type="spellEnd"/>
      <w:r w:rsidR="00357A73">
        <w:rPr>
          <w:rFonts w:ascii="Times New Roman" w:hAnsi="Times New Roman" w:cs="Times New Roman"/>
          <w:sz w:val="24"/>
          <w:szCs w:val="24"/>
        </w:rPr>
        <w:t>.</w:t>
      </w:r>
      <w:proofErr w:type="gramEnd"/>
      <w:r w:rsidR="003364F5">
        <w:rPr>
          <w:rFonts w:ascii="Times New Roman" w:hAnsi="Times New Roman" w:cs="Times New Roman"/>
          <w:sz w:val="24"/>
          <w:szCs w:val="24"/>
        </w:rPr>
        <w:t xml:space="preserve"> </w:t>
      </w:r>
    </w:p>
    <w:p w:rsidR="003364F5" w:rsidRDefault="003364F5" w:rsidP="0029420A">
      <w:pPr>
        <w:spacing w:after="0" w:line="240" w:lineRule="auto"/>
        <w:jc w:val="both"/>
        <w:rPr>
          <w:rFonts w:ascii="Times New Roman" w:hAnsi="Times New Roman" w:cs="Times New Roman"/>
          <w:sz w:val="24"/>
          <w:szCs w:val="24"/>
        </w:rPr>
      </w:pPr>
    </w:p>
    <w:p w:rsidR="003364F5" w:rsidRDefault="003364F5" w:rsidP="0029420A">
      <w:pPr>
        <w:spacing w:after="0" w:line="240" w:lineRule="auto"/>
        <w:jc w:val="both"/>
        <w:rPr>
          <w:rFonts w:ascii="Times New Roman" w:hAnsi="Times New Roman" w:cs="Times New Roman"/>
          <w:sz w:val="24"/>
          <w:szCs w:val="24"/>
        </w:rPr>
      </w:pPr>
    </w:p>
    <w:p w:rsidR="003364F5" w:rsidRDefault="003364F5" w:rsidP="0029420A">
      <w:pPr>
        <w:spacing w:after="0" w:line="240" w:lineRule="auto"/>
        <w:jc w:val="both"/>
        <w:rPr>
          <w:rFonts w:ascii="Times New Roman" w:hAnsi="Times New Roman" w:cs="Times New Roman"/>
          <w:sz w:val="24"/>
          <w:szCs w:val="24"/>
        </w:rPr>
      </w:pPr>
    </w:p>
    <w:p w:rsidR="003364F5" w:rsidRDefault="003364F5" w:rsidP="0029420A">
      <w:pPr>
        <w:spacing w:after="0" w:line="240" w:lineRule="auto"/>
        <w:jc w:val="both"/>
        <w:rPr>
          <w:rFonts w:ascii="Times New Roman" w:hAnsi="Times New Roman" w:cs="Times New Roman"/>
          <w:sz w:val="24"/>
          <w:szCs w:val="24"/>
        </w:rPr>
      </w:pPr>
    </w:p>
    <w:p w:rsidR="00357A73" w:rsidRPr="0029420A" w:rsidRDefault="00357A73" w:rsidP="0029420A">
      <w:pPr>
        <w:spacing w:after="0" w:line="240" w:lineRule="auto"/>
        <w:jc w:val="both"/>
        <w:rPr>
          <w:rFonts w:ascii="Times New Roman" w:hAnsi="Times New Roman" w:cs="Times New Roman"/>
          <w:b/>
          <w:sz w:val="24"/>
          <w:szCs w:val="24"/>
        </w:rPr>
      </w:pPr>
      <w:r w:rsidRPr="0029420A">
        <w:rPr>
          <w:rFonts w:ascii="Times New Roman" w:hAnsi="Times New Roman" w:cs="Times New Roman"/>
          <w:b/>
          <w:sz w:val="24"/>
          <w:szCs w:val="24"/>
        </w:rPr>
        <w:lastRenderedPageBreak/>
        <w:t>HASIL DAN PEMBAHASAN</w:t>
      </w:r>
    </w:p>
    <w:p w:rsidR="00357A73" w:rsidRDefault="00357A73" w:rsidP="0029420A">
      <w:pPr>
        <w:spacing w:after="0" w:line="240" w:lineRule="auto"/>
        <w:jc w:val="both"/>
        <w:rPr>
          <w:rFonts w:ascii="Times New Roman" w:hAnsi="Times New Roman" w:cs="Times New Roman"/>
          <w:sz w:val="24"/>
          <w:szCs w:val="24"/>
        </w:rPr>
      </w:pPr>
    </w:p>
    <w:p w:rsidR="00357A73" w:rsidRPr="00340425" w:rsidRDefault="00357A73" w:rsidP="0029420A">
      <w:pPr>
        <w:spacing w:after="0" w:line="240" w:lineRule="auto"/>
        <w:jc w:val="center"/>
        <w:rPr>
          <w:rFonts w:ascii="Times New Roman" w:hAnsi="Times New Roman" w:cs="Times New Roman"/>
          <w:b/>
        </w:rPr>
      </w:pPr>
      <w:bookmarkStart w:id="1" w:name="_Toc128252634"/>
      <w:bookmarkStart w:id="2" w:name="_Toc128252686"/>
      <w:proofErr w:type="spellStart"/>
      <w:r w:rsidRPr="00F0770E">
        <w:rPr>
          <w:rFonts w:ascii="Times New Roman" w:hAnsi="Times New Roman" w:cs="Times New Roman"/>
          <w:b/>
        </w:rPr>
        <w:t>Tabel</w:t>
      </w:r>
      <w:proofErr w:type="spellEnd"/>
      <w:r w:rsidRPr="00F0770E">
        <w:rPr>
          <w:rFonts w:ascii="Times New Roman" w:hAnsi="Times New Roman" w:cs="Times New Roman"/>
          <w:b/>
        </w:rPr>
        <w:t xml:space="preserve"> </w:t>
      </w:r>
      <w:bookmarkEnd w:id="1"/>
      <w:proofErr w:type="gramStart"/>
      <w:r w:rsidR="004F45C4">
        <w:rPr>
          <w:rFonts w:ascii="Times New Roman" w:hAnsi="Times New Roman" w:cs="Times New Roman"/>
          <w:b/>
        </w:rPr>
        <w:t>1</w:t>
      </w:r>
      <w:r w:rsidRPr="00F0770E">
        <w:rPr>
          <w:rFonts w:ascii="Times New Roman" w:hAnsi="Times New Roman" w:cs="Times New Roman"/>
          <w:b/>
        </w:rPr>
        <w:t xml:space="preserve"> </w:t>
      </w:r>
      <w:bookmarkEnd w:id="2"/>
      <w:r w:rsidR="0029420A">
        <w:rPr>
          <w:rFonts w:ascii="Times New Roman" w:hAnsi="Times New Roman" w:cs="Times New Roman"/>
          <w:b/>
        </w:rPr>
        <w:t xml:space="preserve"> </w:t>
      </w:r>
      <w:proofErr w:type="spellStart"/>
      <w:r w:rsidR="0029420A">
        <w:rPr>
          <w:rFonts w:ascii="Times New Roman" w:hAnsi="Times New Roman" w:cs="Times New Roman"/>
          <w:b/>
        </w:rPr>
        <w:t>Ringkasan</w:t>
      </w:r>
      <w:proofErr w:type="spellEnd"/>
      <w:proofErr w:type="gramEnd"/>
      <w:r w:rsidR="0029420A">
        <w:rPr>
          <w:rFonts w:ascii="Times New Roman" w:hAnsi="Times New Roman" w:cs="Times New Roman"/>
          <w:b/>
        </w:rPr>
        <w:t xml:space="preserve"> </w:t>
      </w:r>
      <w:proofErr w:type="spellStart"/>
      <w:r w:rsidR="0029420A">
        <w:rPr>
          <w:rFonts w:ascii="Times New Roman" w:hAnsi="Times New Roman" w:cs="Times New Roman"/>
          <w:b/>
        </w:rPr>
        <w:t>Hasil</w:t>
      </w:r>
      <w:proofErr w:type="spellEnd"/>
      <w:r w:rsidR="0029420A">
        <w:rPr>
          <w:rFonts w:ascii="Times New Roman" w:hAnsi="Times New Roman" w:cs="Times New Roman"/>
          <w:b/>
        </w:rPr>
        <w:t xml:space="preserve"> </w:t>
      </w:r>
      <w:proofErr w:type="spellStart"/>
      <w:r w:rsidR="0029420A">
        <w:rPr>
          <w:rFonts w:ascii="Times New Roman" w:hAnsi="Times New Roman" w:cs="Times New Roman"/>
          <w:b/>
        </w:rPr>
        <w:t>Pengujian</w:t>
      </w:r>
      <w:proofErr w:type="spellEnd"/>
      <w:r w:rsidR="0029420A">
        <w:rPr>
          <w:rFonts w:ascii="Times New Roman" w:hAnsi="Times New Roman" w:cs="Times New Roman"/>
          <w:b/>
        </w:rPr>
        <w:t xml:space="preserve"> </w:t>
      </w:r>
      <w:proofErr w:type="spellStart"/>
      <w:r w:rsidR="0029420A">
        <w:rPr>
          <w:rFonts w:ascii="Times New Roman" w:hAnsi="Times New Roman" w:cs="Times New Roman"/>
          <w:b/>
        </w:rPr>
        <w:t>Hipotesis</w:t>
      </w:r>
      <w:proofErr w:type="spellEnd"/>
    </w:p>
    <w:tbl>
      <w:tblPr>
        <w:tblStyle w:val="TableGrid"/>
        <w:tblW w:w="4820" w:type="dxa"/>
        <w:jc w:val="center"/>
        <w:tblInd w:w="-402" w:type="dxa"/>
        <w:tblLook w:val="04A0" w:firstRow="1" w:lastRow="0" w:firstColumn="1" w:lastColumn="0" w:noHBand="0" w:noVBand="1"/>
      </w:tblPr>
      <w:tblGrid>
        <w:gridCol w:w="2084"/>
        <w:gridCol w:w="747"/>
        <w:gridCol w:w="739"/>
        <w:gridCol w:w="1250"/>
      </w:tblGrid>
      <w:tr w:rsidR="00357A73" w:rsidRPr="004F45C4" w:rsidTr="0029420A">
        <w:trPr>
          <w:trHeight w:val="440"/>
          <w:jc w:val="center"/>
        </w:trPr>
        <w:tc>
          <w:tcPr>
            <w:tcW w:w="2084" w:type="dxa"/>
          </w:tcPr>
          <w:p w:rsidR="00357A73" w:rsidRPr="004F45C4" w:rsidRDefault="00357A73" w:rsidP="0029420A">
            <w:pPr>
              <w:autoSpaceDE w:val="0"/>
              <w:autoSpaceDN w:val="0"/>
              <w:adjustRightInd w:val="0"/>
              <w:jc w:val="center"/>
              <w:rPr>
                <w:rFonts w:ascii="System" w:hAnsi="System" w:cs="System"/>
                <w:b/>
                <w:bCs/>
                <w:sz w:val="20"/>
                <w:szCs w:val="20"/>
              </w:rPr>
            </w:pPr>
          </w:p>
        </w:tc>
        <w:tc>
          <w:tcPr>
            <w:tcW w:w="747" w:type="dxa"/>
            <w:vAlign w:val="center"/>
          </w:tcPr>
          <w:p w:rsidR="00357A73" w:rsidRPr="004F45C4" w:rsidRDefault="0029420A" w:rsidP="0029420A">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β</w:t>
            </w:r>
          </w:p>
        </w:tc>
        <w:tc>
          <w:tcPr>
            <w:tcW w:w="739" w:type="dxa"/>
            <w:vAlign w:val="center"/>
          </w:tcPr>
          <w:p w:rsidR="00357A73" w:rsidRPr="004F45C4" w:rsidRDefault="00357A73" w:rsidP="0029420A">
            <w:pPr>
              <w:autoSpaceDE w:val="0"/>
              <w:autoSpaceDN w:val="0"/>
              <w:adjustRightInd w:val="0"/>
              <w:jc w:val="center"/>
              <w:rPr>
                <w:rFonts w:ascii="Times New Roman" w:hAnsi="Times New Roman" w:cs="Times New Roman"/>
                <w:b/>
                <w:bCs/>
                <w:i/>
                <w:sz w:val="20"/>
                <w:szCs w:val="20"/>
              </w:rPr>
            </w:pPr>
            <w:r w:rsidRPr="004F45C4">
              <w:rPr>
                <w:rFonts w:ascii="Times New Roman" w:hAnsi="Times New Roman" w:cs="Times New Roman"/>
                <w:b/>
                <w:bCs/>
                <w:i/>
                <w:sz w:val="20"/>
                <w:szCs w:val="20"/>
              </w:rPr>
              <w:t>Sig</w:t>
            </w:r>
          </w:p>
        </w:tc>
        <w:tc>
          <w:tcPr>
            <w:tcW w:w="1250" w:type="dxa"/>
            <w:vAlign w:val="center"/>
          </w:tcPr>
          <w:p w:rsidR="00357A73" w:rsidRPr="004F45C4" w:rsidRDefault="00357A73" w:rsidP="0029420A">
            <w:pPr>
              <w:autoSpaceDE w:val="0"/>
              <w:autoSpaceDN w:val="0"/>
              <w:adjustRightInd w:val="0"/>
              <w:jc w:val="center"/>
              <w:rPr>
                <w:rFonts w:ascii="Times New Roman" w:hAnsi="Times New Roman" w:cs="Times New Roman"/>
                <w:b/>
                <w:bCs/>
                <w:sz w:val="20"/>
                <w:szCs w:val="20"/>
              </w:rPr>
            </w:pPr>
            <w:proofErr w:type="spellStart"/>
            <w:r w:rsidRPr="004F45C4">
              <w:rPr>
                <w:rFonts w:ascii="Times New Roman" w:hAnsi="Times New Roman" w:cs="Times New Roman"/>
                <w:b/>
                <w:bCs/>
                <w:sz w:val="20"/>
                <w:szCs w:val="20"/>
              </w:rPr>
              <w:t>Kesimpulan</w:t>
            </w:r>
            <w:proofErr w:type="spellEnd"/>
          </w:p>
        </w:tc>
      </w:tr>
      <w:tr w:rsidR="00357A73" w:rsidRPr="004F45C4" w:rsidTr="0029420A">
        <w:trPr>
          <w:trHeight w:val="170"/>
          <w:jc w:val="center"/>
        </w:trPr>
        <w:tc>
          <w:tcPr>
            <w:tcW w:w="2084" w:type="dxa"/>
          </w:tcPr>
          <w:p w:rsidR="00357A73" w:rsidRPr="004F45C4" w:rsidRDefault="00357A73" w:rsidP="0029420A">
            <w:pPr>
              <w:autoSpaceDE w:val="0"/>
              <w:autoSpaceDN w:val="0"/>
              <w:adjustRightInd w:val="0"/>
              <w:jc w:val="both"/>
              <w:rPr>
                <w:rFonts w:ascii="Times New Roman" w:hAnsi="Times New Roman" w:cs="Times New Roman"/>
                <w:bCs/>
                <w:sz w:val="20"/>
                <w:szCs w:val="20"/>
              </w:rPr>
            </w:pPr>
            <w:r w:rsidRPr="004F45C4">
              <w:rPr>
                <w:rFonts w:ascii="Times New Roman" w:hAnsi="Times New Roman" w:cs="Times New Roman"/>
                <w:bCs/>
                <w:sz w:val="20"/>
                <w:szCs w:val="20"/>
              </w:rPr>
              <w:t>Constanta</w:t>
            </w:r>
          </w:p>
        </w:tc>
        <w:tc>
          <w:tcPr>
            <w:tcW w:w="747" w:type="dxa"/>
            <w:vAlign w:val="center"/>
          </w:tcPr>
          <w:p w:rsidR="00357A73" w:rsidRPr="004F45C4" w:rsidRDefault="00357A73" w:rsidP="0029420A">
            <w:pPr>
              <w:autoSpaceDE w:val="0"/>
              <w:autoSpaceDN w:val="0"/>
              <w:adjustRightInd w:val="0"/>
              <w:jc w:val="center"/>
              <w:rPr>
                <w:rFonts w:ascii="Times New Roman" w:hAnsi="Times New Roman" w:cs="Times New Roman"/>
                <w:bCs/>
                <w:sz w:val="20"/>
                <w:szCs w:val="20"/>
              </w:rPr>
            </w:pPr>
            <w:r w:rsidRPr="004F45C4">
              <w:rPr>
                <w:rFonts w:ascii="Times New Roman" w:hAnsi="Times New Roman" w:cs="Times New Roman"/>
                <w:bCs/>
                <w:sz w:val="20"/>
                <w:szCs w:val="20"/>
              </w:rPr>
              <w:t>1,758</w:t>
            </w:r>
          </w:p>
        </w:tc>
        <w:tc>
          <w:tcPr>
            <w:tcW w:w="739" w:type="dxa"/>
            <w:vAlign w:val="center"/>
          </w:tcPr>
          <w:p w:rsidR="00357A73" w:rsidRPr="004F45C4" w:rsidRDefault="00357A73" w:rsidP="0029420A">
            <w:pPr>
              <w:autoSpaceDE w:val="0"/>
              <w:autoSpaceDN w:val="0"/>
              <w:adjustRightInd w:val="0"/>
              <w:jc w:val="center"/>
              <w:rPr>
                <w:rFonts w:ascii="Times New Roman" w:hAnsi="Times New Roman" w:cs="Times New Roman"/>
                <w:b/>
                <w:bCs/>
                <w:i/>
                <w:sz w:val="20"/>
                <w:szCs w:val="20"/>
              </w:rPr>
            </w:pPr>
          </w:p>
        </w:tc>
        <w:tc>
          <w:tcPr>
            <w:tcW w:w="1250" w:type="dxa"/>
            <w:vAlign w:val="center"/>
          </w:tcPr>
          <w:p w:rsidR="00357A73" w:rsidRPr="004F45C4" w:rsidRDefault="00357A73" w:rsidP="0029420A">
            <w:pPr>
              <w:autoSpaceDE w:val="0"/>
              <w:autoSpaceDN w:val="0"/>
              <w:adjustRightInd w:val="0"/>
              <w:jc w:val="center"/>
              <w:rPr>
                <w:rFonts w:ascii="Times New Roman" w:hAnsi="Times New Roman" w:cs="Times New Roman"/>
                <w:b/>
                <w:bCs/>
                <w:sz w:val="20"/>
                <w:szCs w:val="20"/>
              </w:rPr>
            </w:pPr>
          </w:p>
        </w:tc>
      </w:tr>
      <w:tr w:rsidR="00357A73" w:rsidRPr="004F45C4" w:rsidTr="003364F5">
        <w:trPr>
          <w:jc w:val="center"/>
        </w:trPr>
        <w:tc>
          <w:tcPr>
            <w:tcW w:w="2084" w:type="dxa"/>
          </w:tcPr>
          <w:p w:rsidR="00357A73" w:rsidRPr="004F45C4" w:rsidRDefault="00357A73" w:rsidP="0029420A">
            <w:pPr>
              <w:jc w:val="both"/>
              <w:rPr>
                <w:rFonts w:ascii="Times New Roman" w:hAnsi="Times New Roman" w:cs="Times New Roman"/>
                <w:sz w:val="20"/>
                <w:szCs w:val="20"/>
              </w:rPr>
            </w:pPr>
            <w:proofErr w:type="spellStart"/>
            <w:r w:rsidRPr="004F45C4">
              <w:rPr>
                <w:rFonts w:ascii="Times New Roman" w:hAnsi="Times New Roman" w:cs="Times New Roman"/>
                <w:sz w:val="20"/>
                <w:szCs w:val="20"/>
              </w:rPr>
              <w:t>Ukuran</w:t>
            </w:r>
            <w:proofErr w:type="spellEnd"/>
            <w:r w:rsidRPr="004F45C4">
              <w:rPr>
                <w:rFonts w:ascii="Times New Roman" w:hAnsi="Times New Roman" w:cs="Times New Roman"/>
                <w:sz w:val="20"/>
                <w:szCs w:val="20"/>
              </w:rPr>
              <w:t xml:space="preserve"> </w:t>
            </w:r>
            <w:proofErr w:type="spellStart"/>
            <w:r w:rsidRPr="004F45C4">
              <w:rPr>
                <w:rFonts w:ascii="Times New Roman" w:hAnsi="Times New Roman" w:cs="Times New Roman"/>
                <w:sz w:val="20"/>
                <w:szCs w:val="20"/>
              </w:rPr>
              <w:t>Dewan</w:t>
            </w:r>
            <w:proofErr w:type="spellEnd"/>
            <w:r w:rsidRPr="004F45C4">
              <w:rPr>
                <w:rFonts w:ascii="Times New Roman" w:hAnsi="Times New Roman" w:cs="Times New Roman"/>
                <w:sz w:val="20"/>
                <w:szCs w:val="20"/>
              </w:rPr>
              <w:t xml:space="preserve"> </w:t>
            </w:r>
            <w:proofErr w:type="spellStart"/>
            <w:r w:rsidRPr="004F45C4">
              <w:rPr>
                <w:rFonts w:ascii="Times New Roman" w:hAnsi="Times New Roman" w:cs="Times New Roman"/>
                <w:sz w:val="20"/>
                <w:szCs w:val="20"/>
              </w:rPr>
              <w:t>Komisaris</w:t>
            </w:r>
            <w:proofErr w:type="spellEnd"/>
            <w:r w:rsidRPr="004F45C4">
              <w:rPr>
                <w:rFonts w:ascii="Times New Roman" w:hAnsi="Times New Roman" w:cs="Times New Roman"/>
                <w:sz w:val="20"/>
                <w:szCs w:val="20"/>
              </w:rPr>
              <w:t xml:space="preserve"> </w:t>
            </w:r>
          </w:p>
        </w:tc>
        <w:tc>
          <w:tcPr>
            <w:tcW w:w="747" w:type="dxa"/>
          </w:tcPr>
          <w:p w:rsidR="00357A73" w:rsidRPr="004F45C4" w:rsidRDefault="00357A73" w:rsidP="0029420A">
            <w:pPr>
              <w:autoSpaceDE w:val="0"/>
              <w:autoSpaceDN w:val="0"/>
              <w:adjustRightInd w:val="0"/>
              <w:jc w:val="center"/>
              <w:rPr>
                <w:rFonts w:ascii="Times New Roman" w:hAnsi="Times New Roman" w:cs="Times New Roman"/>
                <w:bCs/>
                <w:sz w:val="20"/>
                <w:szCs w:val="20"/>
              </w:rPr>
            </w:pPr>
            <w:r w:rsidRPr="004F45C4">
              <w:rPr>
                <w:rFonts w:ascii="Times New Roman" w:hAnsi="Times New Roman" w:cs="Times New Roman"/>
                <w:bCs/>
                <w:sz w:val="20"/>
                <w:szCs w:val="20"/>
              </w:rPr>
              <w:t>-1,021</w:t>
            </w:r>
          </w:p>
        </w:tc>
        <w:tc>
          <w:tcPr>
            <w:tcW w:w="739" w:type="dxa"/>
          </w:tcPr>
          <w:p w:rsidR="00357A73" w:rsidRPr="004F45C4" w:rsidRDefault="00357A73" w:rsidP="0029420A">
            <w:pPr>
              <w:autoSpaceDE w:val="0"/>
              <w:autoSpaceDN w:val="0"/>
              <w:adjustRightInd w:val="0"/>
              <w:jc w:val="center"/>
              <w:rPr>
                <w:rFonts w:ascii="Times New Roman" w:hAnsi="Times New Roman" w:cs="Times New Roman"/>
                <w:bCs/>
                <w:sz w:val="20"/>
                <w:szCs w:val="20"/>
              </w:rPr>
            </w:pPr>
            <w:r w:rsidRPr="004F45C4">
              <w:rPr>
                <w:rFonts w:ascii="Times New Roman" w:hAnsi="Times New Roman" w:cs="Times New Roman"/>
                <w:bCs/>
                <w:sz w:val="20"/>
                <w:szCs w:val="20"/>
              </w:rPr>
              <w:t>0,000</w:t>
            </w:r>
          </w:p>
        </w:tc>
        <w:tc>
          <w:tcPr>
            <w:tcW w:w="1250" w:type="dxa"/>
            <w:vAlign w:val="center"/>
          </w:tcPr>
          <w:p w:rsidR="00357A73" w:rsidRPr="004F45C4" w:rsidRDefault="00357A73" w:rsidP="003364F5">
            <w:pPr>
              <w:autoSpaceDE w:val="0"/>
              <w:autoSpaceDN w:val="0"/>
              <w:adjustRightInd w:val="0"/>
              <w:jc w:val="center"/>
              <w:rPr>
                <w:rFonts w:ascii="Times New Roman" w:hAnsi="Times New Roman" w:cs="Times New Roman"/>
                <w:bCs/>
                <w:sz w:val="20"/>
                <w:szCs w:val="20"/>
              </w:rPr>
            </w:pPr>
            <w:proofErr w:type="spellStart"/>
            <w:r w:rsidRPr="004F45C4">
              <w:rPr>
                <w:rFonts w:ascii="Times New Roman" w:hAnsi="Times New Roman" w:cs="Times New Roman"/>
                <w:bCs/>
                <w:sz w:val="20"/>
                <w:szCs w:val="20"/>
              </w:rPr>
              <w:t>Diterima</w:t>
            </w:r>
            <w:proofErr w:type="spellEnd"/>
          </w:p>
        </w:tc>
      </w:tr>
      <w:tr w:rsidR="00357A73" w:rsidRPr="004F45C4" w:rsidTr="003364F5">
        <w:trPr>
          <w:jc w:val="center"/>
        </w:trPr>
        <w:tc>
          <w:tcPr>
            <w:tcW w:w="2084" w:type="dxa"/>
          </w:tcPr>
          <w:p w:rsidR="00357A73" w:rsidRPr="004F45C4" w:rsidRDefault="00357A73" w:rsidP="0029420A">
            <w:pPr>
              <w:jc w:val="both"/>
              <w:rPr>
                <w:rFonts w:ascii="Times New Roman" w:hAnsi="Times New Roman" w:cs="Times New Roman"/>
                <w:sz w:val="20"/>
                <w:szCs w:val="20"/>
              </w:rPr>
            </w:pPr>
            <w:proofErr w:type="spellStart"/>
            <w:r w:rsidRPr="004F45C4">
              <w:rPr>
                <w:rFonts w:ascii="Times New Roman" w:hAnsi="Times New Roman" w:cs="Times New Roman"/>
                <w:sz w:val="20"/>
                <w:szCs w:val="20"/>
              </w:rPr>
              <w:t>Proporsi</w:t>
            </w:r>
            <w:proofErr w:type="spellEnd"/>
            <w:r w:rsidRPr="004F45C4">
              <w:rPr>
                <w:rFonts w:ascii="Times New Roman" w:hAnsi="Times New Roman" w:cs="Times New Roman"/>
                <w:sz w:val="20"/>
                <w:szCs w:val="20"/>
              </w:rPr>
              <w:t xml:space="preserve"> </w:t>
            </w:r>
            <w:proofErr w:type="spellStart"/>
            <w:r w:rsidRPr="004F45C4">
              <w:rPr>
                <w:rFonts w:ascii="Times New Roman" w:hAnsi="Times New Roman" w:cs="Times New Roman"/>
                <w:sz w:val="20"/>
                <w:szCs w:val="20"/>
              </w:rPr>
              <w:t>Dewan</w:t>
            </w:r>
            <w:proofErr w:type="spellEnd"/>
            <w:r w:rsidRPr="004F45C4">
              <w:rPr>
                <w:rFonts w:ascii="Times New Roman" w:hAnsi="Times New Roman" w:cs="Times New Roman"/>
                <w:sz w:val="20"/>
                <w:szCs w:val="20"/>
              </w:rPr>
              <w:t xml:space="preserve"> </w:t>
            </w:r>
            <w:proofErr w:type="spellStart"/>
            <w:r w:rsidRPr="004F45C4">
              <w:rPr>
                <w:rFonts w:ascii="Times New Roman" w:hAnsi="Times New Roman" w:cs="Times New Roman"/>
                <w:sz w:val="20"/>
                <w:szCs w:val="20"/>
              </w:rPr>
              <w:t>Komisaris</w:t>
            </w:r>
            <w:proofErr w:type="spellEnd"/>
            <w:r w:rsidRPr="004F45C4">
              <w:rPr>
                <w:rFonts w:ascii="Times New Roman" w:hAnsi="Times New Roman" w:cs="Times New Roman"/>
                <w:sz w:val="20"/>
                <w:szCs w:val="20"/>
              </w:rPr>
              <w:t xml:space="preserve"> </w:t>
            </w:r>
            <w:proofErr w:type="spellStart"/>
            <w:r w:rsidRPr="004F45C4">
              <w:rPr>
                <w:rFonts w:ascii="Times New Roman" w:hAnsi="Times New Roman" w:cs="Times New Roman"/>
                <w:sz w:val="20"/>
                <w:szCs w:val="20"/>
              </w:rPr>
              <w:t>Independen</w:t>
            </w:r>
            <w:proofErr w:type="spellEnd"/>
          </w:p>
        </w:tc>
        <w:tc>
          <w:tcPr>
            <w:tcW w:w="747" w:type="dxa"/>
          </w:tcPr>
          <w:p w:rsidR="00357A73" w:rsidRPr="004F45C4" w:rsidRDefault="00357A73" w:rsidP="0029420A">
            <w:pPr>
              <w:autoSpaceDE w:val="0"/>
              <w:autoSpaceDN w:val="0"/>
              <w:adjustRightInd w:val="0"/>
              <w:jc w:val="center"/>
              <w:rPr>
                <w:rFonts w:ascii="Times New Roman" w:hAnsi="Times New Roman" w:cs="Times New Roman"/>
                <w:bCs/>
                <w:sz w:val="20"/>
                <w:szCs w:val="20"/>
              </w:rPr>
            </w:pPr>
            <w:r w:rsidRPr="004F45C4">
              <w:rPr>
                <w:rFonts w:ascii="Times New Roman" w:hAnsi="Times New Roman" w:cs="Times New Roman"/>
                <w:bCs/>
                <w:sz w:val="20"/>
                <w:szCs w:val="20"/>
              </w:rPr>
              <w:t>-0,010</w:t>
            </w:r>
          </w:p>
        </w:tc>
        <w:tc>
          <w:tcPr>
            <w:tcW w:w="739" w:type="dxa"/>
          </w:tcPr>
          <w:p w:rsidR="00357A73" w:rsidRPr="004F45C4" w:rsidRDefault="00357A73" w:rsidP="0029420A">
            <w:pPr>
              <w:autoSpaceDE w:val="0"/>
              <w:autoSpaceDN w:val="0"/>
              <w:adjustRightInd w:val="0"/>
              <w:jc w:val="center"/>
              <w:rPr>
                <w:rFonts w:ascii="Times New Roman" w:hAnsi="Times New Roman" w:cs="Times New Roman"/>
                <w:bCs/>
                <w:sz w:val="20"/>
                <w:szCs w:val="20"/>
              </w:rPr>
            </w:pPr>
            <w:r w:rsidRPr="004F45C4">
              <w:rPr>
                <w:rFonts w:ascii="Times New Roman" w:hAnsi="Times New Roman" w:cs="Times New Roman"/>
                <w:bCs/>
                <w:sz w:val="20"/>
                <w:szCs w:val="20"/>
              </w:rPr>
              <w:t>0,711</w:t>
            </w:r>
          </w:p>
        </w:tc>
        <w:tc>
          <w:tcPr>
            <w:tcW w:w="1250" w:type="dxa"/>
            <w:vAlign w:val="center"/>
          </w:tcPr>
          <w:p w:rsidR="00357A73" w:rsidRPr="004F45C4" w:rsidRDefault="00357A73" w:rsidP="003364F5">
            <w:pPr>
              <w:autoSpaceDE w:val="0"/>
              <w:autoSpaceDN w:val="0"/>
              <w:adjustRightInd w:val="0"/>
              <w:jc w:val="center"/>
              <w:rPr>
                <w:rFonts w:ascii="Times New Roman" w:hAnsi="Times New Roman" w:cs="Times New Roman"/>
                <w:bCs/>
                <w:sz w:val="20"/>
                <w:szCs w:val="20"/>
              </w:rPr>
            </w:pPr>
            <w:proofErr w:type="spellStart"/>
            <w:r w:rsidRPr="004F45C4">
              <w:rPr>
                <w:rFonts w:ascii="Times New Roman" w:hAnsi="Times New Roman" w:cs="Times New Roman"/>
                <w:bCs/>
                <w:sz w:val="20"/>
                <w:szCs w:val="20"/>
              </w:rPr>
              <w:t>Ditolak</w:t>
            </w:r>
            <w:proofErr w:type="spellEnd"/>
          </w:p>
        </w:tc>
      </w:tr>
      <w:tr w:rsidR="00357A73" w:rsidRPr="004F45C4" w:rsidTr="003364F5">
        <w:trPr>
          <w:jc w:val="center"/>
        </w:trPr>
        <w:tc>
          <w:tcPr>
            <w:tcW w:w="2084" w:type="dxa"/>
          </w:tcPr>
          <w:p w:rsidR="00357A73" w:rsidRPr="004F45C4" w:rsidRDefault="00357A73" w:rsidP="0029420A">
            <w:pPr>
              <w:jc w:val="both"/>
              <w:rPr>
                <w:rFonts w:ascii="Times New Roman" w:hAnsi="Times New Roman" w:cs="Times New Roman"/>
                <w:sz w:val="20"/>
                <w:szCs w:val="20"/>
              </w:rPr>
            </w:pPr>
            <w:proofErr w:type="spellStart"/>
            <w:r w:rsidRPr="004F45C4">
              <w:rPr>
                <w:rFonts w:ascii="Times New Roman" w:hAnsi="Times New Roman" w:cs="Times New Roman"/>
                <w:sz w:val="20"/>
                <w:szCs w:val="20"/>
              </w:rPr>
              <w:t>Keberadaan</w:t>
            </w:r>
            <w:proofErr w:type="spellEnd"/>
            <w:r w:rsidRPr="004F45C4">
              <w:rPr>
                <w:rFonts w:ascii="Times New Roman" w:hAnsi="Times New Roman" w:cs="Times New Roman"/>
                <w:sz w:val="20"/>
                <w:szCs w:val="20"/>
              </w:rPr>
              <w:t xml:space="preserve"> </w:t>
            </w:r>
            <w:proofErr w:type="spellStart"/>
            <w:r w:rsidRPr="004F45C4">
              <w:rPr>
                <w:rFonts w:ascii="Times New Roman" w:hAnsi="Times New Roman" w:cs="Times New Roman"/>
                <w:sz w:val="20"/>
                <w:szCs w:val="20"/>
              </w:rPr>
              <w:t>Perempuan</w:t>
            </w:r>
            <w:proofErr w:type="spellEnd"/>
            <w:r w:rsidRPr="004F45C4">
              <w:rPr>
                <w:rFonts w:ascii="Times New Roman" w:hAnsi="Times New Roman" w:cs="Times New Roman"/>
                <w:sz w:val="20"/>
                <w:szCs w:val="20"/>
              </w:rPr>
              <w:t xml:space="preserve"> </w:t>
            </w:r>
            <w:proofErr w:type="spellStart"/>
            <w:r w:rsidRPr="004F45C4">
              <w:rPr>
                <w:rFonts w:ascii="Times New Roman" w:hAnsi="Times New Roman" w:cs="Times New Roman"/>
                <w:sz w:val="20"/>
                <w:szCs w:val="20"/>
              </w:rPr>
              <w:t>dalam</w:t>
            </w:r>
            <w:proofErr w:type="spellEnd"/>
            <w:r w:rsidRPr="004F45C4">
              <w:rPr>
                <w:rFonts w:ascii="Times New Roman" w:hAnsi="Times New Roman" w:cs="Times New Roman"/>
                <w:sz w:val="20"/>
                <w:szCs w:val="20"/>
              </w:rPr>
              <w:t xml:space="preserve"> </w:t>
            </w:r>
            <w:proofErr w:type="spellStart"/>
            <w:r w:rsidRPr="004F45C4">
              <w:rPr>
                <w:rFonts w:ascii="Times New Roman" w:hAnsi="Times New Roman" w:cs="Times New Roman"/>
                <w:sz w:val="20"/>
                <w:szCs w:val="20"/>
              </w:rPr>
              <w:t>Dewan</w:t>
            </w:r>
            <w:proofErr w:type="spellEnd"/>
            <w:r w:rsidRPr="004F45C4">
              <w:rPr>
                <w:rFonts w:ascii="Times New Roman" w:hAnsi="Times New Roman" w:cs="Times New Roman"/>
                <w:sz w:val="20"/>
                <w:szCs w:val="20"/>
              </w:rPr>
              <w:t xml:space="preserve"> </w:t>
            </w:r>
            <w:proofErr w:type="spellStart"/>
            <w:r w:rsidRPr="004F45C4">
              <w:rPr>
                <w:rFonts w:ascii="Times New Roman" w:hAnsi="Times New Roman" w:cs="Times New Roman"/>
                <w:sz w:val="20"/>
                <w:szCs w:val="20"/>
              </w:rPr>
              <w:t>Komisaris</w:t>
            </w:r>
            <w:proofErr w:type="spellEnd"/>
            <w:r w:rsidRPr="004F45C4">
              <w:rPr>
                <w:rFonts w:ascii="Times New Roman" w:hAnsi="Times New Roman" w:cs="Times New Roman"/>
                <w:sz w:val="20"/>
                <w:szCs w:val="20"/>
              </w:rPr>
              <w:t xml:space="preserve"> </w:t>
            </w:r>
          </w:p>
        </w:tc>
        <w:tc>
          <w:tcPr>
            <w:tcW w:w="747" w:type="dxa"/>
          </w:tcPr>
          <w:p w:rsidR="00357A73" w:rsidRPr="004F45C4" w:rsidRDefault="00357A73" w:rsidP="0029420A">
            <w:pPr>
              <w:autoSpaceDE w:val="0"/>
              <w:autoSpaceDN w:val="0"/>
              <w:adjustRightInd w:val="0"/>
              <w:jc w:val="center"/>
              <w:rPr>
                <w:rFonts w:ascii="Times New Roman" w:hAnsi="Times New Roman" w:cs="Times New Roman"/>
                <w:bCs/>
                <w:sz w:val="20"/>
                <w:szCs w:val="20"/>
              </w:rPr>
            </w:pPr>
            <w:r w:rsidRPr="004F45C4">
              <w:rPr>
                <w:rFonts w:ascii="Times New Roman" w:hAnsi="Times New Roman" w:cs="Times New Roman"/>
                <w:bCs/>
                <w:sz w:val="20"/>
                <w:szCs w:val="20"/>
              </w:rPr>
              <w:t>-0,009</w:t>
            </w:r>
          </w:p>
        </w:tc>
        <w:tc>
          <w:tcPr>
            <w:tcW w:w="739" w:type="dxa"/>
          </w:tcPr>
          <w:p w:rsidR="00357A73" w:rsidRPr="004F45C4" w:rsidRDefault="00357A73" w:rsidP="0029420A">
            <w:pPr>
              <w:autoSpaceDE w:val="0"/>
              <w:autoSpaceDN w:val="0"/>
              <w:adjustRightInd w:val="0"/>
              <w:jc w:val="center"/>
              <w:rPr>
                <w:rFonts w:ascii="Times New Roman" w:hAnsi="Times New Roman" w:cs="Times New Roman"/>
                <w:bCs/>
                <w:sz w:val="20"/>
                <w:szCs w:val="20"/>
              </w:rPr>
            </w:pPr>
            <w:r w:rsidRPr="004F45C4">
              <w:rPr>
                <w:rFonts w:ascii="Times New Roman" w:hAnsi="Times New Roman" w:cs="Times New Roman"/>
                <w:bCs/>
                <w:sz w:val="20"/>
                <w:szCs w:val="20"/>
              </w:rPr>
              <w:t>0,048</w:t>
            </w:r>
          </w:p>
        </w:tc>
        <w:tc>
          <w:tcPr>
            <w:tcW w:w="1250" w:type="dxa"/>
            <w:vAlign w:val="center"/>
          </w:tcPr>
          <w:p w:rsidR="00357A73" w:rsidRPr="004F45C4" w:rsidRDefault="00357A73" w:rsidP="003364F5">
            <w:pPr>
              <w:autoSpaceDE w:val="0"/>
              <w:autoSpaceDN w:val="0"/>
              <w:adjustRightInd w:val="0"/>
              <w:jc w:val="center"/>
              <w:rPr>
                <w:rFonts w:ascii="Times New Roman" w:hAnsi="Times New Roman" w:cs="Times New Roman"/>
                <w:bCs/>
                <w:sz w:val="20"/>
                <w:szCs w:val="20"/>
              </w:rPr>
            </w:pPr>
            <w:proofErr w:type="spellStart"/>
            <w:r w:rsidRPr="004F45C4">
              <w:rPr>
                <w:rFonts w:ascii="Times New Roman" w:hAnsi="Times New Roman" w:cs="Times New Roman"/>
                <w:bCs/>
                <w:sz w:val="20"/>
                <w:szCs w:val="20"/>
              </w:rPr>
              <w:t>Diterima</w:t>
            </w:r>
            <w:proofErr w:type="spellEnd"/>
          </w:p>
        </w:tc>
      </w:tr>
      <w:tr w:rsidR="00357A73" w:rsidRPr="004F45C4" w:rsidTr="0029420A">
        <w:trPr>
          <w:jc w:val="center"/>
        </w:trPr>
        <w:tc>
          <w:tcPr>
            <w:tcW w:w="2084" w:type="dxa"/>
          </w:tcPr>
          <w:p w:rsidR="00357A73" w:rsidRPr="004F45C4" w:rsidRDefault="00357A73" w:rsidP="0029420A">
            <w:pPr>
              <w:jc w:val="both"/>
              <w:rPr>
                <w:rFonts w:ascii="Times New Roman" w:hAnsi="Times New Roman" w:cs="Times New Roman"/>
                <w:sz w:val="20"/>
                <w:szCs w:val="20"/>
              </w:rPr>
            </w:pPr>
            <w:proofErr w:type="spellStart"/>
            <w:r w:rsidRPr="004F45C4">
              <w:rPr>
                <w:rFonts w:ascii="Times New Roman" w:hAnsi="Times New Roman" w:cs="Times New Roman"/>
                <w:sz w:val="20"/>
                <w:szCs w:val="20"/>
              </w:rPr>
              <w:t>Kepemilikan</w:t>
            </w:r>
            <w:proofErr w:type="spellEnd"/>
            <w:r w:rsidRPr="004F45C4">
              <w:rPr>
                <w:rFonts w:ascii="Times New Roman" w:hAnsi="Times New Roman" w:cs="Times New Roman"/>
                <w:sz w:val="20"/>
                <w:szCs w:val="20"/>
              </w:rPr>
              <w:t xml:space="preserve"> </w:t>
            </w:r>
            <w:proofErr w:type="spellStart"/>
            <w:r w:rsidRPr="004F45C4">
              <w:rPr>
                <w:rFonts w:ascii="Times New Roman" w:hAnsi="Times New Roman" w:cs="Times New Roman"/>
                <w:sz w:val="20"/>
                <w:szCs w:val="20"/>
              </w:rPr>
              <w:t>Publik</w:t>
            </w:r>
            <w:proofErr w:type="spellEnd"/>
          </w:p>
        </w:tc>
        <w:tc>
          <w:tcPr>
            <w:tcW w:w="747" w:type="dxa"/>
          </w:tcPr>
          <w:p w:rsidR="00357A73" w:rsidRPr="004F45C4" w:rsidRDefault="00357A73" w:rsidP="0029420A">
            <w:pPr>
              <w:autoSpaceDE w:val="0"/>
              <w:autoSpaceDN w:val="0"/>
              <w:adjustRightInd w:val="0"/>
              <w:jc w:val="center"/>
              <w:rPr>
                <w:rFonts w:ascii="Times New Roman" w:hAnsi="Times New Roman" w:cs="Times New Roman"/>
                <w:bCs/>
                <w:sz w:val="20"/>
                <w:szCs w:val="20"/>
              </w:rPr>
            </w:pPr>
            <w:r w:rsidRPr="004F45C4">
              <w:rPr>
                <w:rFonts w:ascii="Times New Roman" w:hAnsi="Times New Roman" w:cs="Times New Roman"/>
                <w:bCs/>
                <w:sz w:val="20"/>
                <w:szCs w:val="20"/>
              </w:rPr>
              <w:t>-0,007</w:t>
            </w:r>
          </w:p>
        </w:tc>
        <w:tc>
          <w:tcPr>
            <w:tcW w:w="739" w:type="dxa"/>
          </w:tcPr>
          <w:p w:rsidR="00357A73" w:rsidRPr="004F45C4" w:rsidRDefault="00357A73" w:rsidP="0029420A">
            <w:pPr>
              <w:autoSpaceDE w:val="0"/>
              <w:autoSpaceDN w:val="0"/>
              <w:adjustRightInd w:val="0"/>
              <w:jc w:val="center"/>
              <w:rPr>
                <w:rFonts w:ascii="Times New Roman" w:hAnsi="Times New Roman" w:cs="Times New Roman"/>
                <w:bCs/>
                <w:sz w:val="20"/>
                <w:szCs w:val="20"/>
              </w:rPr>
            </w:pPr>
            <w:r w:rsidRPr="004F45C4">
              <w:rPr>
                <w:rFonts w:ascii="Times New Roman" w:hAnsi="Times New Roman" w:cs="Times New Roman"/>
                <w:bCs/>
                <w:sz w:val="20"/>
                <w:szCs w:val="20"/>
              </w:rPr>
              <w:t>0,018</w:t>
            </w:r>
          </w:p>
        </w:tc>
        <w:tc>
          <w:tcPr>
            <w:tcW w:w="1250" w:type="dxa"/>
          </w:tcPr>
          <w:p w:rsidR="00357A73" w:rsidRPr="004F45C4" w:rsidRDefault="00357A73" w:rsidP="0029420A">
            <w:pPr>
              <w:autoSpaceDE w:val="0"/>
              <w:autoSpaceDN w:val="0"/>
              <w:adjustRightInd w:val="0"/>
              <w:jc w:val="center"/>
              <w:rPr>
                <w:rFonts w:ascii="Times New Roman" w:hAnsi="Times New Roman" w:cs="Times New Roman"/>
                <w:bCs/>
                <w:sz w:val="20"/>
                <w:szCs w:val="20"/>
              </w:rPr>
            </w:pPr>
            <w:proofErr w:type="spellStart"/>
            <w:r w:rsidRPr="004F45C4">
              <w:rPr>
                <w:rFonts w:ascii="Times New Roman" w:hAnsi="Times New Roman" w:cs="Times New Roman"/>
                <w:bCs/>
                <w:sz w:val="20"/>
                <w:szCs w:val="20"/>
              </w:rPr>
              <w:t>Diterima</w:t>
            </w:r>
            <w:proofErr w:type="spellEnd"/>
          </w:p>
        </w:tc>
      </w:tr>
      <w:tr w:rsidR="00357A73" w:rsidRPr="004F45C4" w:rsidTr="0029420A">
        <w:trPr>
          <w:jc w:val="center"/>
        </w:trPr>
        <w:tc>
          <w:tcPr>
            <w:tcW w:w="2084" w:type="dxa"/>
          </w:tcPr>
          <w:p w:rsidR="00357A73" w:rsidRPr="004F45C4" w:rsidRDefault="00357A73" w:rsidP="0029420A">
            <w:pPr>
              <w:jc w:val="both"/>
              <w:rPr>
                <w:rFonts w:ascii="Times New Roman" w:hAnsi="Times New Roman" w:cs="Times New Roman"/>
                <w:sz w:val="20"/>
                <w:szCs w:val="20"/>
              </w:rPr>
            </w:pPr>
            <w:r w:rsidRPr="004F45C4">
              <w:rPr>
                <w:rFonts w:ascii="Times New Roman" w:hAnsi="Times New Roman" w:cs="Times New Roman"/>
                <w:i/>
                <w:sz w:val="20"/>
                <w:szCs w:val="20"/>
              </w:rPr>
              <w:t>Leverage</w:t>
            </w:r>
          </w:p>
        </w:tc>
        <w:tc>
          <w:tcPr>
            <w:tcW w:w="747" w:type="dxa"/>
          </w:tcPr>
          <w:p w:rsidR="00357A73" w:rsidRPr="004F45C4" w:rsidRDefault="00357A73" w:rsidP="0029420A">
            <w:pPr>
              <w:autoSpaceDE w:val="0"/>
              <w:autoSpaceDN w:val="0"/>
              <w:adjustRightInd w:val="0"/>
              <w:jc w:val="center"/>
              <w:rPr>
                <w:rFonts w:ascii="Times New Roman" w:hAnsi="Times New Roman" w:cs="Times New Roman"/>
                <w:bCs/>
                <w:sz w:val="20"/>
                <w:szCs w:val="20"/>
              </w:rPr>
            </w:pPr>
            <w:r w:rsidRPr="004F45C4">
              <w:rPr>
                <w:rFonts w:ascii="Times New Roman" w:hAnsi="Times New Roman" w:cs="Times New Roman"/>
                <w:bCs/>
                <w:sz w:val="20"/>
                <w:szCs w:val="20"/>
              </w:rPr>
              <w:t>-0,015</w:t>
            </w:r>
          </w:p>
        </w:tc>
        <w:tc>
          <w:tcPr>
            <w:tcW w:w="739" w:type="dxa"/>
          </w:tcPr>
          <w:p w:rsidR="00357A73" w:rsidRPr="004F45C4" w:rsidRDefault="00357A73" w:rsidP="0029420A">
            <w:pPr>
              <w:autoSpaceDE w:val="0"/>
              <w:autoSpaceDN w:val="0"/>
              <w:adjustRightInd w:val="0"/>
              <w:jc w:val="center"/>
              <w:rPr>
                <w:rFonts w:ascii="Times New Roman" w:hAnsi="Times New Roman" w:cs="Times New Roman"/>
                <w:bCs/>
                <w:sz w:val="20"/>
                <w:szCs w:val="20"/>
              </w:rPr>
            </w:pPr>
            <w:r w:rsidRPr="004F45C4">
              <w:rPr>
                <w:rFonts w:ascii="Times New Roman" w:hAnsi="Times New Roman" w:cs="Times New Roman"/>
                <w:bCs/>
                <w:sz w:val="20"/>
                <w:szCs w:val="20"/>
              </w:rPr>
              <w:t>0,874</w:t>
            </w:r>
          </w:p>
        </w:tc>
        <w:tc>
          <w:tcPr>
            <w:tcW w:w="1250" w:type="dxa"/>
          </w:tcPr>
          <w:p w:rsidR="00357A73" w:rsidRPr="004F45C4" w:rsidRDefault="00357A73" w:rsidP="0029420A">
            <w:pPr>
              <w:autoSpaceDE w:val="0"/>
              <w:autoSpaceDN w:val="0"/>
              <w:adjustRightInd w:val="0"/>
              <w:jc w:val="center"/>
              <w:rPr>
                <w:rFonts w:ascii="Times New Roman" w:hAnsi="Times New Roman" w:cs="Times New Roman"/>
                <w:bCs/>
                <w:sz w:val="20"/>
                <w:szCs w:val="20"/>
              </w:rPr>
            </w:pPr>
            <w:proofErr w:type="spellStart"/>
            <w:r w:rsidRPr="004F45C4">
              <w:rPr>
                <w:rFonts w:ascii="Times New Roman" w:hAnsi="Times New Roman" w:cs="Times New Roman"/>
                <w:bCs/>
                <w:sz w:val="20"/>
                <w:szCs w:val="20"/>
              </w:rPr>
              <w:t>Ditolak</w:t>
            </w:r>
            <w:proofErr w:type="spellEnd"/>
          </w:p>
        </w:tc>
      </w:tr>
      <w:tr w:rsidR="00357A73" w:rsidRPr="004F45C4" w:rsidTr="0029420A">
        <w:trPr>
          <w:jc w:val="center"/>
        </w:trPr>
        <w:tc>
          <w:tcPr>
            <w:tcW w:w="2084" w:type="dxa"/>
            <w:tcBorders>
              <w:bottom w:val="single" w:sz="4" w:space="0" w:color="auto"/>
            </w:tcBorders>
          </w:tcPr>
          <w:p w:rsidR="00357A73" w:rsidRPr="004F45C4" w:rsidRDefault="00357A73" w:rsidP="0029420A">
            <w:pPr>
              <w:jc w:val="both"/>
              <w:rPr>
                <w:rFonts w:ascii="Times New Roman" w:hAnsi="Times New Roman" w:cs="Times New Roman"/>
                <w:sz w:val="20"/>
                <w:szCs w:val="20"/>
              </w:rPr>
            </w:pPr>
            <w:proofErr w:type="spellStart"/>
            <w:r w:rsidRPr="004F45C4">
              <w:rPr>
                <w:rFonts w:ascii="Times New Roman" w:hAnsi="Times New Roman" w:cs="Times New Roman"/>
                <w:sz w:val="20"/>
                <w:szCs w:val="20"/>
              </w:rPr>
              <w:t>Profitabilitas</w:t>
            </w:r>
            <w:proofErr w:type="spellEnd"/>
          </w:p>
        </w:tc>
        <w:tc>
          <w:tcPr>
            <w:tcW w:w="747" w:type="dxa"/>
            <w:tcBorders>
              <w:bottom w:val="single" w:sz="4" w:space="0" w:color="auto"/>
            </w:tcBorders>
          </w:tcPr>
          <w:p w:rsidR="00357A73" w:rsidRPr="004F45C4" w:rsidRDefault="00357A73" w:rsidP="0029420A">
            <w:pPr>
              <w:autoSpaceDE w:val="0"/>
              <w:autoSpaceDN w:val="0"/>
              <w:adjustRightInd w:val="0"/>
              <w:jc w:val="center"/>
              <w:rPr>
                <w:rFonts w:ascii="Times New Roman" w:hAnsi="Times New Roman" w:cs="Times New Roman"/>
                <w:bCs/>
                <w:sz w:val="20"/>
                <w:szCs w:val="20"/>
              </w:rPr>
            </w:pPr>
            <w:r w:rsidRPr="004F45C4">
              <w:rPr>
                <w:rFonts w:ascii="Times New Roman" w:hAnsi="Times New Roman" w:cs="Times New Roman"/>
                <w:bCs/>
                <w:sz w:val="20"/>
                <w:szCs w:val="20"/>
              </w:rPr>
              <w:t>-0,001</w:t>
            </w:r>
          </w:p>
        </w:tc>
        <w:tc>
          <w:tcPr>
            <w:tcW w:w="739" w:type="dxa"/>
            <w:tcBorders>
              <w:bottom w:val="single" w:sz="4" w:space="0" w:color="auto"/>
            </w:tcBorders>
          </w:tcPr>
          <w:p w:rsidR="00357A73" w:rsidRPr="004F45C4" w:rsidRDefault="00357A73" w:rsidP="0029420A">
            <w:pPr>
              <w:autoSpaceDE w:val="0"/>
              <w:autoSpaceDN w:val="0"/>
              <w:adjustRightInd w:val="0"/>
              <w:jc w:val="center"/>
              <w:rPr>
                <w:rFonts w:ascii="Times New Roman" w:hAnsi="Times New Roman" w:cs="Times New Roman"/>
                <w:bCs/>
                <w:sz w:val="20"/>
                <w:szCs w:val="20"/>
              </w:rPr>
            </w:pPr>
            <w:r w:rsidRPr="004F45C4">
              <w:rPr>
                <w:rFonts w:ascii="Times New Roman" w:hAnsi="Times New Roman" w:cs="Times New Roman"/>
                <w:bCs/>
                <w:sz w:val="20"/>
                <w:szCs w:val="20"/>
              </w:rPr>
              <w:t>0,908</w:t>
            </w:r>
          </w:p>
        </w:tc>
        <w:tc>
          <w:tcPr>
            <w:tcW w:w="1250" w:type="dxa"/>
            <w:tcBorders>
              <w:bottom w:val="single" w:sz="4" w:space="0" w:color="auto"/>
            </w:tcBorders>
          </w:tcPr>
          <w:p w:rsidR="00357A73" w:rsidRPr="004F45C4" w:rsidRDefault="00357A73" w:rsidP="0029420A">
            <w:pPr>
              <w:autoSpaceDE w:val="0"/>
              <w:autoSpaceDN w:val="0"/>
              <w:adjustRightInd w:val="0"/>
              <w:jc w:val="center"/>
              <w:rPr>
                <w:rFonts w:ascii="Times New Roman" w:hAnsi="Times New Roman" w:cs="Times New Roman"/>
                <w:bCs/>
                <w:sz w:val="20"/>
                <w:szCs w:val="20"/>
              </w:rPr>
            </w:pPr>
            <w:proofErr w:type="spellStart"/>
            <w:r w:rsidRPr="004F45C4">
              <w:rPr>
                <w:rFonts w:ascii="Times New Roman" w:hAnsi="Times New Roman" w:cs="Times New Roman"/>
                <w:bCs/>
                <w:sz w:val="20"/>
                <w:szCs w:val="20"/>
              </w:rPr>
              <w:t>Ditolak</w:t>
            </w:r>
            <w:proofErr w:type="spellEnd"/>
          </w:p>
        </w:tc>
      </w:tr>
    </w:tbl>
    <w:p w:rsidR="00357A73" w:rsidRDefault="00357A73" w:rsidP="0029420A">
      <w:pPr>
        <w:spacing w:after="0" w:line="240" w:lineRule="auto"/>
        <w:jc w:val="both"/>
        <w:rPr>
          <w:rFonts w:ascii="Times New Roman" w:hAnsi="Times New Roman" w:cs="Times New Roman"/>
          <w:sz w:val="24"/>
          <w:szCs w:val="24"/>
        </w:rPr>
      </w:pPr>
    </w:p>
    <w:p w:rsidR="00357A73" w:rsidRDefault="00357A73" w:rsidP="0029420A">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hasil</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pengujian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hipotesis</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ditemukan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ukuran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dewan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komisaris</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keberadaan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perempuan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dalam</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dewan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komisaris</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dan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kepemilikan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pablik</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berpengaruh</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negatif</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terhadap</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risiko</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investasi</w:t>
      </w:r>
      <w:proofErr w:type="spellEnd"/>
      <w:r w:rsidR="004831B4">
        <w:rPr>
          <w:rFonts w:ascii="Times New Roman" w:hAnsi="Times New Roman" w:cs="Times New Roman"/>
          <w:sz w:val="24"/>
          <w:szCs w:val="24"/>
        </w:rPr>
        <w:t>.</w:t>
      </w:r>
      <w:proofErr w:type="gramEnd"/>
      <w:r w:rsidR="004831B4">
        <w:rPr>
          <w:rFonts w:ascii="Times New Roman" w:hAnsi="Times New Roman" w:cs="Times New Roman"/>
          <w:sz w:val="24"/>
          <w:szCs w:val="24"/>
        </w:rPr>
        <w:t xml:space="preserve"> </w:t>
      </w:r>
      <w:proofErr w:type="spellStart"/>
      <w:proofErr w:type="gramStart"/>
      <w:r w:rsidR="004831B4">
        <w:rPr>
          <w:rFonts w:ascii="Times New Roman" w:hAnsi="Times New Roman" w:cs="Times New Roman"/>
          <w:sz w:val="24"/>
          <w:szCs w:val="24"/>
        </w:rPr>
        <w:t>Masing</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masing</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pengujian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secara</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statistik</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menghasilkan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nilai</w:t>
      </w:r>
      <w:proofErr w:type="spellEnd"/>
      <w:r w:rsidR="004831B4">
        <w:rPr>
          <w:rFonts w:ascii="Times New Roman" w:hAnsi="Times New Roman" w:cs="Times New Roman"/>
          <w:sz w:val="24"/>
          <w:szCs w:val="24"/>
        </w:rPr>
        <w:t xml:space="preserve"> sig </w:t>
      </w:r>
      <w:proofErr w:type="spellStart"/>
      <w:r w:rsidR="004831B4">
        <w:rPr>
          <w:rFonts w:ascii="Times New Roman" w:hAnsi="Times New Roman" w:cs="Times New Roman"/>
          <w:sz w:val="24"/>
          <w:szCs w:val="24"/>
        </w:rPr>
        <w:t>dibawah</w:t>
      </w:r>
      <w:proofErr w:type="spellEnd"/>
      <w:r w:rsidR="004831B4">
        <w:rPr>
          <w:rFonts w:ascii="Times New Roman" w:hAnsi="Times New Roman" w:cs="Times New Roman"/>
          <w:sz w:val="24"/>
          <w:szCs w:val="24"/>
        </w:rPr>
        <w:t xml:space="preserve"> 0.05, </w:t>
      </w:r>
      <w:proofErr w:type="spellStart"/>
      <w:r w:rsidR="004831B4">
        <w:rPr>
          <w:rFonts w:ascii="Times New Roman" w:hAnsi="Times New Roman" w:cs="Times New Roman"/>
          <w:sz w:val="24"/>
          <w:szCs w:val="24"/>
        </w:rPr>
        <w:t>selain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itu</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dalam</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penelitian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ini</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juga</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ditemukan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kepemilikan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pablik</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tidak</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berpengaruh</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signifikan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terhadap</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risiko</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investasi</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pada</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perusahaan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sektor</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jasa</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perhotelan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wisata</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dan</w:t>
      </w:r>
      <w:proofErr w:type="spellEnd"/>
      <w:r w:rsidR="004831B4">
        <w:rPr>
          <w:rFonts w:ascii="Times New Roman" w:hAnsi="Times New Roman" w:cs="Times New Roman"/>
          <w:sz w:val="24"/>
          <w:szCs w:val="24"/>
        </w:rPr>
        <w:t xml:space="preserve"> </w:t>
      </w:r>
      <w:proofErr w:type="spellStart"/>
      <w:r w:rsidR="004831B4">
        <w:rPr>
          <w:rFonts w:ascii="Times New Roman" w:hAnsi="Times New Roman" w:cs="Times New Roman"/>
          <w:sz w:val="24"/>
          <w:szCs w:val="24"/>
        </w:rPr>
        <w:t>transportasi</w:t>
      </w:r>
      <w:proofErr w:type="spellEnd"/>
      <w:r w:rsidR="004831B4">
        <w:rPr>
          <w:rFonts w:ascii="Times New Roman" w:hAnsi="Times New Roman" w:cs="Times New Roman"/>
          <w:sz w:val="24"/>
          <w:szCs w:val="24"/>
        </w:rPr>
        <w:t xml:space="preserve"> di Bursa </w:t>
      </w:r>
      <w:proofErr w:type="spellStart"/>
      <w:r w:rsidR="004831B4">
        <w:rPr>
          <w:rFonts w:ascii="Times New Roman" w:hAnsi="Times New Roman" w:cs="Times New Roman"/>
          <w:sz w:val="24"/>
          <w:szCs w:val="24"/>
        </w:rPr>
        <w:t>Efek</w:t>
      </w:r>
      <w:proofErr w:type="spellEnd"/>
      <w:r w:rsidR="004831B4">
        <w:rPr>
          <w:rFonts w:ascii="Times New Roman" w:hAnsi="Times New Roman" w:cs="Times New Roman"/>
          <w:sz w:val="24"/>
          <w:szCs w:val="24"/>
        </w:rPr>
        <w:t xml:space="preserve"> Indonesia.</w:t>
      </w:r>
      <w:proofErr w:type="gram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Temuan</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tersebut</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menunjukan</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semakin</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besar</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ukuran</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dewan</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komisaris</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serta</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semakin</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besar</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keberadaan</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perempuan</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dalam</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dewan</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komisaris</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dan</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semakin</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tinggi</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persentase</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kepemilikan</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pablik</w:t>
      </w:r>
      <w:proofErr w:type="spellEnd"/>
      <w:r w:rsidR="004F45C4">
        <w:rPr>
          <w:rFonts w:ascii="Times New Roman" w:hAnsi="Times New Roman" w:cs="Times New Roman"/>
          <w:sz w:val="24"/>
          <w:szCs w:val="24"/>
        </w:rPr>
        <w:t xml:space="preserve"> </w:t>
      </w:r>
      <w:proofErr w:type="spellStart"/>
      <w:proofErr w:type="gramStart"/>
      <w:r w:rsidR="004F45C4">
        <w:rPr>
          <w:rFonts w:ascii="Times New Roman" w:hAnsi="Times New Roman" w:cs="Times New Roman"/>
          <w:sz w:val="24"/>
          <w:szCs w:val="24"/>
        </w:rPr>
        <w:t>akan</w:t>
      </w:r>
      <w:proofErr w:type="spellEnd"/>
      <w:proofErr w:type="gram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mendorong</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menurunnya</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risiko</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investasi</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pada</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perusahaan</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sektor</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transportasi</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pariwisata</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dan</w:t>
      </w:r>
      <w:proofErr w:type="spellEnd"/>
      <w:r w:rsidR="004F45C4">
        <w:rPr>
          <w:rFonts w:ascii="Times New Roman" w:hAnsi="Times New Roman" w:cs="Times New Roman"/>
          <w:sz w:val="24"/>
          <w:szCs w:val="24"/>
        </w:rPr>
        <w:t xml:space="preserve"> </w:t>
      </w:r>
      <w:proofErr w:type="spellStart"/>
      <w:r w:rsidR="004F45C4">
        <w:rPr>
          <w:rFonts w:ascii="Times New Roman" w:hAnsi="Times New Roman" w:cs="Times New Roman"/>
          <w:sz w:val="24"/>
          <w:szCs w:val="24"/>
        </w:rPr>
        <w:t>transportasi</w:t>
      </w:r>
      <w:proofErr w:type="spellEnd"/>
      <w:r w:rsidR="004F45C4">
        <w:rPr>
          <w:rFonts w:ascii="Times New Roman" w:hAnsi="Times New Roman" w:cs="Times New Roman"/>
          <w:sz w:val="24"/>
          <w:szCs w:val="24"/>
        </w:rPr>
        <w:t xml:space="preserve"> di Bursa </w:t>
      </w:r>
      <w:proofErr w:type="spellStart"/>
      <w:r w:rsidR="004F45C4">
        <w:rPr>
          <w:rFonts w:ascii="Times New Roman" w:hAnsi="Times New Roman" w:cs="Times New Roman"/>
          <w:sz w:val="24"/>
          <w:szCs w:val="24"/>
        </w:rPr>
        <w:t>Efek</w:t>
      </w:r>
      <w:proofErr w:type="spellEnd"/>
      <w:r w:rsidR="004F45C4">
        <w:rPr>
          <w:rFonts w:ascii="Times New Roman" w:hAnsi="Times New Roman" w:cs="Times New Roman"/>
          <w:sz w:val="24"/>
          <w:szCs w:val="24"/>
        </w:rPr>
        <w:t xml:space="preserve"> Indonesia. </w:t>
      </w:r>
    </w:p>
    <w:p w:rsidR="004831B4" w:rsidRDefault="004831B4" w:rsidP="0029420A">
      <w:pPr>
        <w:spacing w:after="0" w:line="240" w:lineRule="auto"/>
        <w:jc w:val="both"/>
        <w:rPr>
          <w:rFonts w:ascii="Times New Roman" w:hAnsi="Times New Roman" w:cs="Times New Roman"/>
          <w:sz w:val="24"/>
          <w:szCs w:val="24"/>
        </w:rPr>
      </w:pPr>
    </w:p>
    <w:p w:rsidR="004831B4" w:rsidRPr="004F45C4" w:rsidRDefault="004F45C4" w:rsidP="0029420A">
      <w:pPr>
        <w:spacing w:after="0" w:line="240" w:lineRule="auto"/>
        <w:jc w:val="both"/>
        <w:rPr>
          <w:rFonts w:ascii="Times New Roman" w:hAnsi="Times New Roman" w:cs="Times New Roman"/>
          <w:b/>
          <w:sz w:val="24"/>
          <w:szCs w:val="24"/>
        </w:rPr>
      </w:pPr>
      <w:r w:rsidRPr="004F45C4">
        <w:rPr>
          <w:rFonts w:ascii="Times New Roman" w:hAnsi="Times New Roman" w:cs="Times New Roman"/>
          <w:b/>
          <w:sz w:val="24"/>
          <w:szCs w:val="24"/>
        </w:rPr>
        <w:t>KESIMPULAN</w:t>
      </w:r>
    </w:p>
    <w:p w:rsidR="004F45C4" w:rsidRDefault="004F45C4" w:rsidP="0029420A">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Berdasrkan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pariwisata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w:t>
      </w:r>
      <w:proofErr w:type="gramEnd"/>
      <w:r>
        <w:rPr>
          <w:rFonts w:ascii="Times New Roman" w:hAnsi="Times New Roman" w:cs="Times New Roman"/>
          <w:sz w:val="24"/>
          <w:szCs w:val="24"/>
        </w:rPr>
        <w:t xml:space="preserve"> </w:t>
      </w:r>
    </w:p>
    <w:p w:rsidR="004F45C4" w:rsidRDefault="004F45C4" w:rsidP="002942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sidRPr="009939D1">
        <w:rPr>
          <w:rFonts w:ascii="Times New Roman" w:hAnsi="Times New Roman" w:cs="Times New Roman"/>
          <w:sz w:val="24"/>
          <w:szCs w:val="24"/>
        </w:rPr>
        <w:t>Peneliti</w:t>
      </w:r>
      <w:proofErr w:type="spellEnd"/>
      <w:r w:rsidRPr="009939D1">
        <w:rPr>
          <w:rFonts w:ascii="Times New Roman" w:hAnsi="Times New Roman" w:cs="Times New Roman"/>
          <w:sz w:val="24"/>
          <w:szCs w:val="24"/>
        </w:rPr>
        <w:t xml:space="preserve"> </w:t>
      </w:r>
      <w:proofErr w:type="spellStart"/>
      <w:r w:rsidRPr="009939D1">
        <w:rPr>
          <w:rFonts w:ascii="Times New Roman" w:hAnsi="Times New Roman" w:cs="Times New Roman"/>
          <w:sz w:val="24"/>
          <w:szCs w:val="24"/>
        </w:rPr>
        <w:t>dimasa</w:t>
      </w:r>
      <w:proofErr w:type="spellEnd"/>
      <w:r w:rsidRPr="009939D1">
        <w:rPr>
          <w:rFonts w:ascii="Times New Roman" w:hAnsi="Times New Roman" w:cs="Times New Roman"/>
          <w:sz w:val="24"/>
          <w:szCs w:val="24"/>
        </w:rPr>
        <w:t xml:space="preserve"> </w:t>
      </w:r>
      <w:proofErr w:type="spellStart"/>
      <w:r w:rsidRPr="009939D1">
        <w:rPr>
          <w:rFonts w:ascii="Times New Roman" w:hAnsi="Times New Roman" w:cs="Times New Roman"/>
          <w:sz w:val="24"/>
          <w:szCs w:val="24"/>
        </w:rPr>
        <w:t>mendatang</w:t>
      </w:r>
      <w:proofErr w:type="spellEnd"/>
      <w:r w:rsidRPr="009939D1">
        <w:rPr>
          <w:rFonts w:ascii="Times New Roman" w:hAnsi="Times New Roman" w:cs="Times New Roman"/>
          <w:sz w:val="24"/>
          <w:szCs w:val="24"/>
        </w:rPr>
        <w:t xml:space="preserve"> </w:t>
      </w:r>
      <w:proofErr w:type="spellStart"/>
      <w:r w:rsidRPr="009939D1">
        <w:rPr>
          <w:rFonts w:ascii="Times New Roman" w:hAnsi="Times New Roman" w:cs="Times New Roman"/>
          <w:sz w:val="24"/>
          <w:szCs w:val="24"/>
        </w:rPr>
        <w:t>diharapkan</w:t>
      </w:r>
      <w:proofErr w:type="spellEnd"/>
      <w:r w:rsidRPr="009939D1">
        <w:rPr>
          <w:rFonts w:ascii="Times New Roman" w:hAnsi="Times New Roman" w:cs="Times New Roman"/>
          <w:sz w:val="24"/>
          <w:szCs w:val="24"/>
        </w:rPr>
        <w:t xml:space="preserve"> </w:t>
      </w:r>
      <w:proofErr w:type="spellStart"/>
      <w:r w:rsidRPr="009939D1">
        <w:rPr>
          <w:rFonts w:ascii="Times New Roman" w:hAnsi="Times New Roman" w:cs="Times New Roman"/>
          <w:sz w:val="24"/>
          <w:szCs w:val="24"/>
        </w:rPr>
        <w:t>menambah</w:t>
      </w:r>
      <w:proofErr w:type="spellEnd"/>
      <w:r w:rsidRPr="009939D1">
        <w:rPr>
          <w:rFonts w:ascii="Times New Roman" w:hAnsi="Times New Roman" w:cs="Times New Roman"/>
          <w:sz w:val="24"/>
          <w:szCs w:val="24"/>
        </w:rPr>
        <w:t xml:space="preserve"> </w:t>
      </w:r>
      <w:proofErr w:type="spellStart"/>
      <w:r w:rsidRPr="009939D1">
        <w:rPr>
          <w:rFonts w:ascii="Times New Roman" w:hAnsi="Times New Roman" w:cs="Times New Roman"/>
          <w:sz w:val="24"/>
          <w:szCs w:val="24"/>
        </w:rPr>
        <w:t>jumlah</w:t>
      </w:r>
      <w:proofErr w:type="spellEnd"/>
      <w:r w:rsidRPr="009939D1">
        <w:rPr>
          <w:rFonts w:ascii="Times New Roman" w:hAnsi="Times New Roman" w:cs="Times New Roman"/>
          <w:sz w:val="24"/>
          <w:szCs w:val="24"/>
        </w:rPr>
        <w:t xml:space="preserve"> </w:t>
      </w:r>
      <w:proofErr w:type="spellStart"/>
      <w:r w:rsidRPr="009939D1">
        <w:rPr>
          <w:rFonts w:ascii="Times New Roman" w:hAnsi="Times New Roman" w:cs="Times New Roman"/>
          <w:sz w:val="24"/>
          <w:szCs w:val="24"/>
        </w:rPr>
        <w:t>sampel</w:t>
      </w:r>
      <w:proofErr w:type="spellEnd"/>
      <w:r w:rsidRPr="009939D1">
        <w:rPr>
          <w:rFonts w:ascii="Times New Roman" w:hAnsi="Times New Roman" w:cs="Times New Roman"/>
          <w:sz w:val="24"/>
          <w:szCs w:val="24"/>
        </w:rPr>
        <w:t xml:space="preserve"> </w:t>
      </w:r>
      <w:proofErr w:type="spellStart"/>
      <w:r w:rsidRPr="009939D1">
        <w:rPr>
          <w:rFonts w:ascii="Times New Roman" w:hAnsi="Times New Roman" w:cs="Times New Roman"/>
          <w:sz w:val="24"/>
          <w:szCs w:val="24"/>
        </w:rPr>
        <w:t>perusahaan</w:t>
      </w:r>
      <w:proofErr w:type="spellEnd"/>
      <w:r w:rsidRPr="009939D1">
        <w:rPr>
          <w:rFonts w:ascii="Times New Roman" w:hAnsi="Times New Roman" w:cs="Times New Roman"/>
          <w:sz w:val="24"/>
          <w:szCs w:val="24"/>
        </w:rPr>
        <w:t xml:space="preserve"> yang </w:t>
      </w:r>
      <w:proofErr w:type="spellStart"/>
      <w:r w:rsidRPr="009939D1">
        <w:rPr>
          <w:rFonts w:ascii="Times New Roman" w:hAnsi="Times New Roman" w:cs="Times New Roman"/>
          <w:sz w:val="24"/>
          <w:szCs w:val="24"/>
        </w:rPr>
        <w:t>diteliti</w:t>
      </w:r>
      <w:proofErr w:type="spellEnd"/>
      <w:r w:rsidRPr="009939D1">
        <w:rPr>
          <w:rFonts w:ascii="Times New Roman" w:hAnsi="Times New Roman" w:cs="Times New Roman"/>
          <w:sz w:val="24"/>
          <w:szCs w:val="24"/>
        </w:rPr>
        <w:t xml:space="preserve"> </w:t>
      </w:r>
      <w:proofErr w:type="spellStart"/>
      <w:r w:rsidRPr="009939D1">
        <w:rPr>
          <w:rFonts w:ascii="Times New Roman" w:hAnsi="Times New Roman" w:cs="Times New Roman"/>
          <w:sz w:val="24"/>
          <w:szCs w:val="24"/>
        </w:rPr>
        <w:t>dengan</w:t>
      </w:r>
      <w:proofErr w:type="spellEnd"/>
      <w:r w:rsidRPr="009939D1">
        <w:rPr>
          <w:rFonts w:ascii="Times New Roman" w:hAnsi="Times New Roman" w:cs="Times New Roman"/>
          <w:sz w:val="24"/>
          <w:szCs w:val="24"/>
        </w:rPr>
        <w:t xml:space="preserve"> </w:t>
      </w:r>
      <w:proofErr w:type="spellStart"/>
      <w:r w:rsidRPr="009939D1">
        <w:rPr>
          <w:rFonts w:ascii="Times New Roman" w:hAnsi="Times New Roman" w:cs="Times New Roman"/>
          <w:sz w:val="24"/>
          <w:szCs w:val="24"/>
        </w:rPr>
        <w:t>mengikutsertakan</w:t>
      </w:r>
      <w:proofErr w:type="spellEnd"/>
      <w:r w:rsidRPr="009939D1">
        <w:rPr>
          <w:rFonts w:ascii="Times New Roman" w:hAnsi="Times New Roman" w:cs="Times New Roman"/>
          <w:sz w:val="24"/>
          <w:szCs w:val="24"/>
        </w:rPr>
        <w:t xml:space="preserve"> </w:t>
      </w:r>
      <w:proofErr w:type="spellStart"/>
      <w:r w:rsidRPr="009939D1">
        <w:rPr>
          <w:rFonts w:ascii="Times New Roman" w:hAnsi="Times New Roman" w:cs="Times New Roman"/>
          <w:sz w:val="24"/>
          <w:szCs w:val="24"/>
        </w:rPr>
        <w:t>sektor</w:t>
      </w:r>
      <w:proofErr w:type="spellEnd"/>
      <w:r w:rsidRPr="009939D1">
        <w:rPr>
          <w:rFonts w:ascii="Times New Roman" w:hAnsi="Times New Roman" w:cs="Times New Roman"/>
          <w:sz w:val="24"/>
          <w:szCs w:val="24"/>
        </w:rPr>
        <w:t xml:space="preserve"> </w:t>
      </w:r>
      <w:proofErr w:type="spellStart"/>
      <w:r w:rsidRPr="009939D1">
        <w:rPr>
          <w:rFonts w:ascii="Times New Roman" w:hAnsi="Times New Roman" w:cs="Times New Roman"/>
          <w:sz w:val="24"/>
          <w:szCs w:val="24"/>
        </w:rPr>
        <w:t>jasa</w:t>
      </w:r>
      <w:proofErr w:type="spellEnd"/>
      <w:r w:rsidRPr="009939D1">
        <w:rPr>
          <w:rFonts w:ascii="Times New Roman" w:hAnsi="Times New Roman" w:cs="Times New Roman"/>
          <w:sz w:val="24"/>
          <w:szCs w:val="24"/>
        </w:rPr>
        <w:t xml:space="preserve"> </w:t>
      </w:r>
      <w:proofErr w:type="spellStart"/>
      <w:r w:rsidRPr="009939D1">
        <w:rPr>
          <w:rFonts w:ascii="Times New Roman" w:hAnsi="Times New Roman" w:cs="Times New Roman"/>
          <w:sz w:val="24"/>
          <w:szCs w:val="24"/>
        </w:rPr>
        <w:t>dan</w:t>
      </w:r>
      <w:proofErr w:type="spellEnd"/>
      <w:r w:rsidRPr="009939D1">
        <w:rPr>
          <w:rFonts w:ascii="Times New Roman" w:hAnsi="Times New Roman" w:cs="Times New Roman"/>
          <w:sz w:val="24"/>
          <w:szCs w:val="24"/>
        </w:rPr>
        <w:t xml:space="preserve"> retail yang </w:t>
      </w:r>
      <w:proofErr w:type="spellStart"/>
      <w:r w:rsidRPr="009939D1">
        <w:rPr>
          <w:rFonts w:ascii="Times New Roman" w:hAnsi="Times New Roman" w:cs="Times New Roman"/>
          <w:sz w:val="24"/>
          <w:szCs w:val="24"/>
        </w:rPr>
        <w:t>juga</w:t>
      </w:r>
      <w:proofErr w:type="spellEnd"/>
      <w:r w:rsidRPr="009939D1">
        <w:rPr>
          <w:rFonts w:ascii="Times New Roman" w:hAnsi="Times New Roman" w:cs="Times New Roman"/>
          <w:sz w:val="24"/>
          <w:szCs w:val="24"/>
        </w:rPr>
        <w:t xml:space="preserve"> </w:t>
      </w:r>
      <w:proofErr w:type="spellStart"/>
      <w:r w:rsidRPr="009939D1">
        <w:rPr>
          <w:rFonts w:ascii="Times New Roman" w:hAnsi="Times New Roman" w:cs="Times New Roman"/>
          <w:sz w:val="24"/>
          <w:szCs w:val="24"/>
        </w:rPr>
        <w:t>terimbas</w:t>
      </w:r>
      <w:proofErr w:type="spellEnd"/>
      <w:r w:rsidRPr="009939D1">
        <w:rPr>
          <w:rFonts w:ascii="Times New Roman" w:hAnsi="Times New Roman" w:cs="Times New Roman"/>
          <w:sz w:val="24"/>
          <w:szCs w:val="24"/>
        </w:rPr>
        <w:t xml:space="preserve"> </w:t>
      </w:r>
      <w:proofErr w:type="spellStart"/>
      <w:r w:rsidRPr="009939D1">
        <w:rPr>
          <w:rFonts w:ascii="Times New Roman" w:hAnsi="Times New Roman" w:cs="Times New Roman"/>
          <w:sz w:val="24"/>
          <w:szCs w:val="24"/>
        </w:rPr>
        <w:t>pandemi</w:t>
      </w:r>
      <w:proofErr w:type="spellEnd"/>
      <w:r w:rsidRPr="009939D1">
        <w:rPr>
          <w:rFonts w:ascii="Times New Roman" w:hAnsi="Times New Roman" w:cs="Times New Roman"/>
          <w:sz w:val="24"/>
          <w:szCs w:val="24"/>
        </w:rPr>
        <w:t xml:space="preserve"> </w:t>
      </w:r>
      <w:proofErr w:type="spellStart"/>
      <w:r w:rsidRPr="009939D1">
        <w:rPr>
          <w:rFonts w:ascii="Times New Roman" w:hAnsi="Times New Roman" w:cs="Times New Roman"/>
          <w:sz w:val="24"/>
          <w:szCs w:val="24"/>
        </w:rPr>
        <w:t>Covid</w:t>
      </w:r>
      <w:proofErr w:type="spellEnd"/>
      <w:r w:rsidRPr="009939D1">
        <w:rPr>
          <w:rFonts w:ascii="Times New Roman" w:hAnsi="Times New Roman" w:cs="Times New Roman"/>
          <w:sz w:val="24"/>
          <w:szCs w:val="24"/>
        </w:rPr>
        <w:t xml:space="preserve"> 19, </w:t>
      </w:r>
    </w:p>
    <w:p w:rsidR="0029420A" w:rsidRDefault="0029420A" w:rsidP="0029420A">
      <w:pPr>
        <w:spacing w:after="0" w:line="240" w:lineRule="auto"/>
        <w:jc w:val="both"/>
        <w:rPr>
          <w:rFonts w:ascii="Times New Roman" w:hAnsi="Times New Roman" w:cs="Times New Roman"/>
          <w:sz w:val="24"/>
          <w:szCs w:val="24"/>
        </w:rPr>
      </w:pPr>
    </w:p>
    <w:p w:rsidR="004F45C4" w:rsidRPr="0029420A" w:rsidRDefault="004F45C4" w:rsidP="0029420A">
      <w:pPr>
        <w:spacing w:after="0" w:line="240" w:lineRule="auto"/>
        <w:jc w:val="both"/>
        <w:rPr>
          <w:rFonts w:ascii="Times New Roman" w:hAnsi="Times New Roman" w:cs="Times New Roman"/>
          <w:b/>
          <w:sz w:val="24"/>
          <w:szCs w:val="24"/>
        </w:rPr>
      </w:pPr>
      <w:r w:rsidRPr="0029420A">
        <w:rPr>
          <w:rFonts w:ascii="Times New Roman" w:hAnsi="Times New Roman" w:cs="Times New Roman"/>
          <w:b/>
          <w:sz w:val="24"/>
          <w:szCs w:val="24"/>
        </w:rPr>
        <w:t>DAFTAR PUSTAKA</w:t>
      </w:r>
    </w:p>
    <w:p w:rsidR="004F45C4" w:rsidRDefault="004F45C4" w:rsidP="0029420A">
      <w:pPr>
        <w:spacing w:after="0" w:line="240" w:lineRule="auto"/>
        <w:jc w:val="both"/>
        <w:rPr>
          <w:rFonts w:ascii="Times New Roman" w:hAnsi="Times New Roman" w:cs="Times New Roman"/>
          <w:sz w:val="24"/>
          <w:szCs w:val="24"/>
        </w:rPr>
      </w:pPr>
    </w:p>
    <w:p w:rsidR="004F45C4" w:rsidRPr="0029420A" w:rsidRDefault="004F45C4" w:rsidP="0029420A">
      <w:pPr>
        <w:widowControl w:val="0"/>
        <w:autoSpaceDE w:val="0"/>
        <w:autoSpaceDN w:val="0"/>
        <w:adjustRightInd w:val="0"/>
        <w:spacing w:after="120" w:line="240" w:lineRule="auto"/>
        <w:ind w:left="480" w:hanging="480"/>
        <w:jc w:val="both"/>
        <w:rPr>
          <w:rFonts w:ascii="Times New Roman" w:hAnsi="Times New Roman" w:cs="Times New Roman"/>
          <w:noProof/>
          <w:sz w:val="20"/>
          <w:szCs w:val="20"/>
        </w:rPr>
      </w:pPr>
      <w:r w:rsidRPr="0029420A">
        <w:rPr>
          <w:rFonts w:ascii="Times New Roman" w:hAnsi="Times New Roman" w:cs="Times New Roman"/>
          <w:sz w:val="20"/>
          <w:szCs w:val="20"/>
        </w:rPr>
        <w:fldChar w:fldCharType="begin" w:fldLock="1"/>
      </w:r>
      <w:r w:rsidRPr="0029420A">
        <w:rPr>
          <w:rFonts w:ascii="Times New Roman" w:hAnsi="Times New Roman" w:cs="Times New Roman"/>
          <w:sz w:val="20"/>
          <w:szCs w:val="20"/>
        </w:rPr>
        <w:instrText xml:space="preserve">ADDIN Mendeley Bibliography CSL_BIBLIOGRAPHY </w:instrText>
      </w:r>
      <w:r w:rsidRPr="0029420A">
        <w:rPr>
          <w:rFonts w:ascii="Times New Roman" w:hAnsi="Times New Roman" w:cs="Times New Roman"/>
          <w:sz w:val="20"/>
          <w:szCs w:val="20"/>
        </w:rPr>
        <w:fldChar w:fldCharType="separate"/>
      </w:r>
      <w:r w:rsidRPr="0029420A">
        <w:rPr>
          <w:rFonts w:ascii="Times New Roman" w:hAnsi="Times New Roman" w:cs="Times New Roman"/>
          <w:noProof/>
          <w:sz w:val="20"/>
          <w:szCs w:val="20"/>
        </w:rPr>
        <w:t xml:space="preserve">Ahmad, M., &amp; Shah, S. Z. A. (2020). Overconfidence heuristic-driven bias in investment decision-making and performance: mediating effects of risk perception and moderating effects of financial literacy. </w:t>
      </w:r>
      <w:r w:rsidRPr="0029420A">
        <w:rPr>
          <w:rFonts w:ascii="Times New Roman" w:hAnsi="Times New Roman" w:cs="Times New Roman"/>
          <w:i/>
          <w:iCs/>
          <w:noProof/>
          <w:sz w:val="20"/>
          <w:szCs w:val="20"/>
        </w:rPr>
        <w:t>Journal of Economic and Administrative Sciences</w:t>
      </w:r>
      <w:r w:rsidRPr="0029420A">
        <w:rPr>
          <w:rFonts w:ascii="Times New Roman" w:hAnsi="Times New Roman" w:cs="Times New Roman"/>
          <w:noProof/>
          <w:sz w:val="20"/>
          <w:szCs w:val="20"/>
        </w:rPr>
        <w:t xml:space="preserve">, </w:t>
      </w:r>
      <w:r w:rsidRPr="0029420A">
        <w:rPr>
          <w:rFonts w:ascii="Times New Roman" w:hAnsi="Times New Roman" w:cs="Times New Roman"/>
          <w:i/>
          <w:iCs/>
          <w:noProof/>
          <w:sz w:val="20"/>
          <w:szCs w:val="20"/>
        </w:rPr>
        <w:t>38</w:t>
      </w:r>
      <w:r w:rsidRPr="0029420A">
        <w:rPr>
          <w:rFonts w:ascii="Times New Roman" w:hAnsi="Times New Roman" w:cs="Times New Roman"/>
          <w:noProof/>
          <w:sz w:val="20"/>
          <w:szCs w:val="20"/>
        </w:rPr>
        <w:t>(1), 60–90. https://doi.org/10.1108/jeas-07-2020-0116</w:t>
      </w:r>
    </w:p>
    <w:p w:rsidR="004F45C4" w:rsidRPr="0029420A" w:rsidRDefault="004F45C4" w:rsidP="0029420A">
      <w:pPr>
        <w:widowControl w:val="0"/>
        <w:autoSpaceDE w:val="0"/>
        <w:autoSpaceDN w:val="0"/>
        <w:adjustRightInd w:val="0"/>
        <w:spacing w:after="120" w:line="240" w:lineRule="auto"/>
        <w:ind w:left="480" w:hanging="480"/>
        <w:jc w:val="both"/>
        <w:rPr>
          <w:rFonts w:ascii="Times New Roman" w:hAnsi="Times New Roman" w:cs="Times New Roman"/>
          <w:noProof/>
          <w:sz w:val="20"/>
          <w:szCs w:val="20"/>
        </w:rPr>
      </w:pPr>
      <w:r w:rsidRPr="0029420A">
        <w:rPr>
          <w:rFonts w:ascii="Times New Roman" w:hAnsi="Times New Roman" w:cs="Times New Roman"/>
          <w:noProof/>
          <w:sz w:val="20"/>
          <w:szCs w:val="20"/>
        </w:rPr>
        <w:t xml:space="preserve">Brigham, E. F., &amp; Houston, J. F. (2017). </w:t>
      </w:r>
      <w:r w:rsidRPr="0029420A">
        <w:rPr>
          <w:rFonts w:ascii="Times New Roman" w:hAnsi="Times New Roman" w:cs="Times New Roman"/>
          <w:i/>
          <w:iCs/>
          <w:noProof/>
          <w:sz w:val="20"/>
          <w:szCs w:val="20"/>
        </w:rPr>
        <w:t>Fundamentals of Financial Management</w:t>
      </w:r>
      <w:r w:rsidRPr="0029420A">
        <w:rPr>
          <w:rFonts w:ascii="Times New Roman" w:hAnsi="Times New Roman" w:cs="Times New Roman"/>
          <w:noProof/>
          <w:sz w:val="20"/>
          <w:szCs w:val="20"/>
        </w:rPr>
        <w:t xml:space="preserve"> (10 Edition). Ptentice-Hall. https://doi.org/10.1017/CBO9781107415324.004</w:t>
      </w:r>
    </w:p>
    <w:p w:rsidR="004F45C4" w:rsidRPr="0029420A" w:rsidRDefault="004F45C4" w:rsidP="0029420A">
      <w:pPr>
        <w:widowControl w:val="0"/>
        <w:autoSpaceDE w:val="0"/>
        <w:autoSpaceDN w:val="0"/>
        <w:adjustRightInd w:val="0"/>
        <w:spacing w:after="120" w:line="240" w:lineRule="auto"/>
        <w:ind w:left="480" w:hanging="480"/>
        <w:jc w:val="both"/>
        <w:rPr>
          <w:rFonts w:ascii="Times New Roman" w:hAnsi="Times New Roman" w:cs="Times New Roman"/>
          <w:noProof/>
          <w:sz w:val="20"/>
          <w:szCs w:val="20"/>
        </w:rPr>
      </w:pPr>
      <w:r w:rsidRPr="0029420A">
        <w:rPr>
          <w:rFonts w:ascii="Times New Roman" w:hAnsi="Times New Roman" w:cs="Times New Roman"/>
          <w:noProof/>
          <w:sz w:val="20"/>
          <w:szCs w:val="20"/>
        </w:rPr>
        <w:t xml:space="preserve">Hatane, S. E., Supangat, S., Tarigan, J., &amp; Jie, F. (2019). Does internal corporate governance mechanism control firm risk? Evidence from Indonesia’s three high-risk sectors. </w:t>
      </w:r>
      <w:r w:rsidRPr="0029420A">
        <w:rPr>
          <w:rFonts w:ascii="Times New Roman" w:hAnsi="Times New Roman" w:cs="Times New Roman"/>
          <w:i/>
          <w:iCs/>
          <w:noProof/>
          <w:sz w:val="20"/>
          <w:szCs w:val="20"/>
        </w:rPr>
        <w:t>Corporate Governance (Bingley)</w:t>
      </w:r>
      <w:r w:rsidRPr="0029420A">
        <w:rPr>
          <w:rFonts w:ascii="Times New Roman" w:hAnsi="Times New Roman" w:cs="Times New Roman"/>
          <w:noProof/>
          <w:sz w:val="20"/>
          <w:szCs w:val="20"/>
        </w:rPr>
        <w:t xml:space="preserve">, </w:t>
      </w:r>
      <w:r w:rsidRPr="0029420A">
        <w:rPr>
          <w:rFonts w:ascii="Times New Roman" w:hAnsi="Times New Roman" w:cs="Times New Roman"/>
          <w:i/>
          <w:iCs/>
          <w:noProof/>
          <w:sz w:val="20"/>
          <w:szCs w:val="20"/>
        </w:rPr>
        <w:t>19</w:t>
      </w:r>
      <w:r w:rsidRPr="0029420A">
        <w:rPr>
          <w:rFonts w:ascii="Times New Roman" w:hAnsi="Times New Roman" w:cs="Times New Roman"/>
          <w:noProof/>
          <w:sz w:val="20"/>
          <w:szCs w:val="20"/>
        </w:rPr>
        <w:t>(6), 1362–1376. https://doi.org/10.1108/CG-02-2019-0071</w:t>
      </w:r>
    </w:p>
    <w:p w:rsidR="004F45C4" w:rsidRPr="0029420A" w:rsidRDefault="004F45C4" w:rsidP="0029420A">
      <w:pPr>
        <w:widowControl w:val="0"/>
        <w:autoSpaceDE w:val="0"/>
        <w:autoSpaceDN w:val="0"/>
        <w:adjustRightInd w:val="0"/>
        <w:spacing w:after="120" w:line="240" w:lineRule="auto"/>
        <w:ind w:left="480" w:hanging="480"/>
        <w:jc w:val="both"/>
        <w:rPr>
          <w:rFonts w:ascii="Times New Roman" w:hAnsi="Times New Roman" w:cs="Times New Roman"/>
          <w:noProof/>
          <w:sz w:val="20"/>
          <w:szCs w:val="20"/>
        </w:rPr>
      </w:pPr>
      <w:r w:rsidRPr="0029420A">
        <w:rPr>
          <w:rFonts w:ascii="Times New Roman" w:hAnsi="Times New Roman" w:cs="Times New Roman"/>
          <w:noProof/>
          <w:sz w:val="20"/>
          <w:szCs w:val="20"/>
        </w:rPr>
        <w:t xml:space="preserve">Heath, C., Sommerfield, A., &amp; von Ungern-Sternberg, B. S. (2020). Resilience strategies to manage psychological distress among healthcare workers during the COVID-19 pandemic: a narrative review. </w:t>
      </w:r>
      <w:r w:rsidRPr="0029420A">
        <w:rPr>
          <w:rFonts w:ascii="Times New Roman" w:hAnsi="Times New Roman" w:cs="Times New Roman"/>
          <w:i/>
          <w:iCs/>
          <w:noProof/>
          <w:sz w:val="20"/>
          <w:szCs w:val="20"/>
        </w:rPr>
        <w:t>Anaesthesia</w:t>
      </w:r>
      <w:r w:rsidRPr="0029420A">
        <w:rPr>
          <w:rFonts w:ascii="Times New Roman" w:hAnsi="Times New Roman" w:cs="Times New Roman"/>
          <w:noProof/>
          <w:sz w:val="20"/>
          <w:szCs w:val="20"/>
        </w:rPr>
        <w:t xml:space="preserve">, </w:t>
      </w:r>
      <w:r w:rsidRPr="0029420A">
        <w:rPr>
          <w:rFonts w:ascii="Times New Roman" w:hAnsi="Times New Roman" w:cs="Times New Roman"/>
          <w:i/>
          <w:iCs/>
          <w:noProof/>
          <w:sz w:val="20"/>
          <w:szCs w:val="20"/>
        </w:rPr>
        <w:t>75</w:t>
      </w:r>
      <w:r w:rsidRPr="0029420A">
        <w:rPr>
          <w:rFonts w:ascii="Times New Roman" w:hAnsi="Times New Roman" w:cs="Times New Roman"/>
          <w:noProof/>
          <w:sz w:val="20"/>
          <w:szCs w:val="20"/>
        </w:rPr>
        <w:t>(10), 1364–1371. https://doi.org/10.1111/anae.15180</w:t>
      </w:r>
    </w:p>
    <w:p w:rsidR="004F45C4" w:rsidRPr="0029420A" w:rsidRDefault="004F45C4" w:rsidP="0029420A">
      <w:pPr>
        <w:widowControl w:val="0"/>
        <w:autoSpaceDE w:val="0"/>
        <w:autoSpaceDN w:val="0"/>
        <w:adjustRightInd w:val="0"/>
        <w:spacing w:after="120" w:line="240" w:lineRule="auto"/>
        <w:ind w:left="480" w:hanging="480"/>
        <w:jc w:val="both"/>
        <w:rPr>
          <w:rFonts w:ascii="Times New Roman" w:hAnsi="Times New Roman" w:cs="Times New Roman"/>
          <w:noProof/>
          <w:sz w:val="20"/>
          <w:szCs w:val="20"/>
        </w:rPr>
      </w:pPr>
      <w:r w:rsidRPr="0029420A">
        <w:rPr>
          <w:rFonts w:ascii="Times New Roman" w:hAnsi="Times New Roman" w:cs="Times New Roman"/>
          <w:noProof/>
          <w:sz w:val="20"/>
          <w:szCs w:val="20"/>
        </w:rPr>
        <w:t xml:space="preserve">Ida, I., Zaniarti, S., &amp; Wijaya, G. E. (2020). Financial Literacy, Money Attitude, Dan Financial Management Behavior Generasi Milenial. </w:t>
      </w:r>
      <w:r w:rsidRPr="0029420A">
        <w:rPr>
          <w:rFonts w:ascii="Times New Roman" w:hAnsi="Times New Roman" w:cs="Times New Roman"/>
          <w:i/>
          <w:iCs/>
          <w:noProof/>
          <w:sz w:val="20"/>
          <w:szCs w:val="20"/>
        </w:rPr>
        <w:t>Jurnal Muara Ilmu Ekonomi Dan Bisnis</w:t>
      </w:r>
      <w:r w:rsidRPr="0029420A">
        <w:rPr>
          <w:rFonts w:ascii="Times New Roman" w:hAnsi="Times New Roman" w:cs="Times New Roman"/>
          <w:noProof/>
          <w:sz w:val="20"/>
          <w:szCs w:val="20"/>
        </w:rPr>
        <w:t xml:space="preserve">, </w:t>
      </w:r>
      <w:r w:rsidRPr="0029420A">
        <w:rPr>
          <w:rFonts w:ascii="Times New Roman" w:hAnsi="Times New Roman" w:cs="Times New Roman"/>
          <w:i/>
          <w:iCs/>
          <w:noProof/>
          <w:sz w:val="20"/>
          <w:szCs w:val="20"/>
        </w:rPr>
        <w:t>4</w:t>
      </w:r>
      <w:r w:rsidRPr="0029420A">
        <w:rPr>
          <w:rFonts w:ascii="Times New Roman" w:hAnsi="Times New Roman" w:cs="Times New Roman"/>
          <w:noProof/>
          <w:sz w:val="20"/>
          <w:szCs w:val="20"/>
        </w:rPr>
        <w:t>(2), 406. https://doi.org/10.24912/jmieb.v4i2.9144</w:t>
      </w:r>
    </w:p>
    <w:p w:rsidR="0029420A" w:rsidRDefault="004F45C4" w:rsidP="0029420A">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29420A">
        <w:rPr>
          <w:rFonts w:ascii="Times New Roman" w:hAnsi="Times New Roman" w:cs="Times New Roman"/>
          <w:noProof/>
          <w:sz w:val="20"/>
          <w:szCs w:val="20"/>
        </w:rPr>
        <w:t xml:space="preserve">Pratiwi, O. (2019). Pengaruh Financial Knowledge , Financial Behavior , Financial Efficacy &amp; Risk Tolerance Terhadap Financial Satisfaction Pada Pegawai PT. Bank Mandiri ( Persero ) Kantor Pusat. </w:t>
      </w:r>
      <w:r w:rsidRPr="0029420A">
        <w:rPr>
          <w:rFonts w:ascii="Times New Roman" w:hAnsi="Times New Roman" w:cs="Times New Roman"/>
          <w:i/>
          <w:iCs/>
          <w:noProof/>
          <w:sz w:val="20"/>
          <w:szCs w:val="20"/>
        </w:rPr>
        <w:t>Jurnal Dinamika Manajemen Dan Bisnis</w:t>
      </w:r>
      <w:r w:rsidRPr="0029420A">
        <w:rPr>
          <w:rFonts w:ascii="Times New Roman" w:hAnsi="Times New Roman" w:cs="Times New Roman"/>
          <w:noProof/>
          <w:sz w:val="20"/>
          <w:szCs w:val="20"/>
        </w:rPr>
        <w:t xml:space="preserve">, </w:t>
      </w:r>
      <w:r w:rsidRPr="0029420A">
        <w:rPr>
          <w:rFonts w:ascii="Times New Roman" w:hAnsi="Times New Roman" w:cs="Times New Roman"/>
          <w:i/>
          <w:iCs/>
          <w:noProof/>
          <w:sz w:val="20"/>
          <w:szCs w:val="20"/>
        </w:rPr>
        <w:t>2</w:t>
      </w:r>
      <w:r w:rsidRPr="0029420A">
        <w:rPr>
          <w:rFonts w:ascii="Times New Roman" w:hAnsi="Times New Roman" w:cs="Times New Roman"/>
          <w:noProof/>
          <w:sz w:val="20"/>
          <w:szCs w:val="20"/>
        </w:rPr>
        <w:t>(2), 1–11.</w:t>
      </w:r>
      <w:r w:rsidRPr="0029420A">
        <w:rPr>
          <w:rFonts w:ascii="Times New Roman" w:hAnsi="Times New Roman" w:cs="Times New Roman"/>
          <w:sz w:val="20"/>
          <w:szCs w:val="20"/>
        </w:rPr>
        <w:fldChar w:fldCharType="end"/>
      </w:r>
    </w:p>
    <w:p w:rsidR="0029420A" w:rsidRPr="0029420A" w:rsidRDefault="0029420A" w:rsidP="0029420A">
      <w:pPr>
        <w:widowControl w:val="0"/>
        <w:autoSpaceDE w:val="0"/>
        <w:autoSpaceDN w:val="0"/>
        <w:adjustRightInd w:val="0"/>
        <w:spacing w:after="120" w:line="240" w:lineRule="auto"/>
        <w:ind w:left="480" w:hanging="480"/>
        <w:jc w:val="both"/>
        <w:rPr>
          <w:rFonts w:ascii="Times New Roman" w:hAnsi="Times New Roman" w:cs="Times New Roman"/>
          <w:sz w:val="20"/>
          <w:szCs w:val="20"/>
        </w:rPr>
        <w:sectPr w:rsidR="0029420A" w:rsidRPr="0029420A" w:rsidSect="0029420A">
          <w:type w:val="continuous"/>
          <w:pgSz w:w="12240" w:h="15840"/>
          <w:pgMar w:top="1440" w:right="1440" w:bottom="1440" w:left="1440" w:header="720" w:footer="720" w:gutter="0"/>
          <w:cols w:num="2" w:space="720"/>
          <w:docGrid w:linePitch="360"/>
        </w:sectPr>
      </w:pPr>
    </w:p>
    <w:p w:rsidR="00357A73" w:rsidRPr="0029420A" w:rsidRDefault="00357A73" w:rsidP="004F45C4">
      <w:pPr>
        <w:spacing w:after="0" w:line="240" w:lineRule="auto"/>
        <w:jc w:val="both"/>
        <w:rPr>
          <w:rFonts w:ascii="Times New Roman" w:hAnsi="Times New Roman" w:cs="Times New Roman"/>
          <w:sz w:val="20"/>
          <w:szCs w:val="20"/>
        </w:rPr>
      </w:pPr>
    </w:p>
    <w:sectPr w:rsidR="00357A73" w:rsidRPr="0029420A" w:rsidSect="004F45C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E8D"/>
    <w:rsid w:val="00113481"/>
    <w:rsid w:val="0029420A"/>
    <w:rsid w:val="003364F5"/>
    <w:rsid w:val="00357A73"/>
    <w:rsid w:val="004831B4"/>
    <w:rsid w:val="004F45C4"/>
    <w:rsid w:val="007B3E8D"/>
    <w:rsid w:val="00C11507"/>
    <w:rsid w:val="00DF0BC3"/>
    <w:rsid w:val="00F4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E8D"/>
    <w:rPr>
      <w:color w:val="0000FF" w:themeColor="hyperlink"/>
      <w:u w:val="single"/>
    </w:rPr>
  </w:style>
  <w:style w:type="paragraph" w:styleId="Caption">
    <w:name w:val="caption"/>
    <w:basedOn w:val="Normal"/>
    <w:next w:val="Normal"/>
    <w:link w:val="CaptionChar"/>
    <w:uiPriority w:val="35"/>
    <w:unhideWhenUsed/>
    <w:qFormat/>
    <w:rsid w:val="00DF0BC3"/>
    <w:pPr>
      <w:spacing w:after="0" w:line="240" w:lineRule="auto"/>
      <w:jc w:val="center"/>
    </w:pPr>
    <w:rPr>
      <w:rFonts w:ascii="Times New Roman" w:hAnsi="Times New Roman"/>
      <w:b/>
      <w:bCs/>
      <w:sz w:val="24"/>
      <w:szCs w:val="18"/>
    </w:rPr>
  </w:style>
  <w:style w:type="character" w:customStyle="1" w:styleId="CaptionChar">
    <w:name w:val="Caption Char"/>
    <w:basedOn w:val="DefaultParagraphFont"/>
    <w:link w:val="Caption"/>
    <w:uiPriority w:val="35"/>
    <w:rsid w:val="00DF0BC3"/>
    <w:rPr>
      <w:rFonts w:ascii="Times New Roman" w:hAnsi="Times New Roman"/>
      <w:b/>
      <w:bCs/>
      <w:sz w:val="24"/>
      <w:szCs w:val="18"/>
    </w:rPr>
  </w:style>
  <w:style w:type="paragraph" w:styleId="BalloonText">
    <w:name w:val="Balloon Text"/>
    <w:basedOn w:val="Normal"/>
    <w:link w:val="BalloonTextChar"/>
    <w:uiPriority w:val="99"/>
    <w:semiHidden/>
    <w:unhideWhenUsed/>
    <w:rsid w:val="00DF0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BC3"/>
    <w:rPr>
      <w:rFonts w:ascii="Tahoma" w:hAnsi="Tahoma" w:cs="Tahoma"/>
      <w:sz w:val="16"/>
      <w:szCs w:val="16"/>
    </w:rPr>
  </w:style>
  <w:style w:type="table" w:styleId="TableGrid">
    <w:name w:val="Table Grid"/>
    <w:basedOn w:val="TableNormal"/>
    <w:uiPriority w:val="59"/>
    <w:rsid w:val="00357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E8D"/>
    <w:rPr>
      <w:color w:val="0000FF" w:themeColor="hyperlink"/>
      <w:u w:val="single"/>
    </w:rPr>
  </w:style>
  <w:style w:type="paragraph" w:styleId="Caption">
    <w:name w:val="caption"/>
    <w:basedOn w:val="Normal"/>
    <w:next w:val="Normal"/>
    <w:link w:val="CaptionChar"/>
    <w:uiPriority w:val="35"/>
    <w:unhideWhenUsed/>
    <w:qFormat/>
    <w:rsid w:val="00DF0BC3"/>
    <w:pPr>
      <w:spacing w:after="0" w:line="240" w:lineRule="auto"/>
      <w:jc w:val="center"/>
    </w:pPr>
    <w:rPr>
      <w:rFonts w:ascii="Times New Roman" w:hAnsi="Times New Roman"/>
      <w:b/>
      <w:bCs/>
      <w:sz w:val="24"/>
      <w:szCs w:val="18"/>
    </w:rPr>
  </w:style>
  <w:style w:type="character" w:customStyle="1" w:styleId="CaptionChar">
    <w:name w:val="Caption Char"/>
    <w:basedOn w:val="DefaultParagraphFont"/>
    <w:link w:val="Caption"/>
    <w:uiPriority w:val="35"/>
    <w:rsid w:val="00DF0BC3"/>
    <w:rPr>
      <w:rFonts w:ascii="Times New Roman" w:hAnsi="Times New Roman"/>
      <w:b/>
      <w:bCs/>
      <w:sz w:val="24"/>
      <w:szCs w:val="18"/>
    </w:rPr>
  </w:style>
  <w:style w:type="paragraph" w:styleId="BalloonText">
    <w:name w:val="Balloon Text"/>
    <w:basedOn w:val="Normal"/>
    <w:link w:val="BalloonTextChar"/>
    <w:uiPriority w:val="99"/>
    <w:semiHidden/>
    <w:unhideWhenUsed/>
    <w:rsid w:val="00DF0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BC3"/>
    <w:rPr>
      <w:rFonts w:ascii="Tahoma" w:hAnsi="Tahoma" w:cs="Tahoma"/>
      <w:sz w:val="16"/>
      <w:szCs w:val="16"/>
    </w:rPr>
  </w:style>
  <w:style w:type="table" w:styleId="TableGrid">
    <w:name w:val="Table Grid"/>
    <w:basedOn w:val="TableNormal"/>
    <w:uiPriority w:val="59"/>
    <w:rsid w:val="00357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zaitul@bunghatta.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ionaldi9909@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CEFCF-A8B2-43BF-9140-2F43A62F1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3776</Words>
  <Characters>21526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2023-03-01T08:27:00Z</dcterms:created>
  <dcterms:modified xsi:type="dcterms:W3CDTF">2023-03-05T08:05:00Z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8b787a45-9650-3095-8af9-6d68c121fbb6</vt:lpwstr>
  </property>
  <property fmtid="{D5CDD505-2E9C-101B-9397-08002B2CF9AE}" pid="24" name="Mendeley Citation Style_1">
    <vt:lpwstr>http://www.zotero.org/styles/apa</vt:lpwstr>
  </property>
</Properties>
</file>