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894E" w14:textId="447E4CFD" w:rsidR="004673E8" w:rsidRPr="007F7A36" w:rsidRDefault="00E2345C" w:rsidP="004673E8">
      <w:pPr>
        <w:widowControl w:val="0"/>
        <w:autoSpaceDE w:val="0"/>
        <w:autoSpaceDN w:val="0"/>
        <w:spacing w:before="6" w:after="0"/>
        <w:ind w:right="-24"/>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w w:val="110"/>
          <w:sz w:val="24"/>
          <w:szCs w:val="24"/>
          <w:lang w:val="en-US"/>
        </w:rPr>
        <w:t xml:space="preserve">PENGARUH </w:t>
      </w:r>
      <w:r w:rsidR="007F7A36">
        <w:rPr>
          <w:rFonts w:ascii="Times New Roman" w:eastAsia="Times New Roman" w:hAnsi="Times New Roman" w:cs="Times New Roman"/>
          <w:b/>
          <w:bCs/>
          <w:w w:val="110"/>
          <w:sz w:val="24"/>
          <w:szCs w:val="24"/>
          <w:lang w:val="en-US"/>
        </w:rPr>
        <w:t xml:space="preserve">OPINI AUDIT, PROFITABILITAS, DAN SOLVABILITAS TERHADAP </w:t>
      </w:r>
      <w:r w:rsidR="007F7A36">
        <w:rPr>
          <w:rFonts w:ascii="Times New Roman" w:eastAsia="Times New Roman" w:hAnsi="Times New Roman" w:cs="Times New Roman"/>
          <w:b/>
          <w:bCs/>
          <w:i/>
          <w:iCs/>
          <w:w w:val="110"/>
          <w:sz w:val="24"/>
          <w:szCs w:val="24"/>
          <w:lang w:val="en-US"/>
        </w:rPr>
        <w:t>AUDIT DELAY</w:t>
      </w:r>
      <w:r w:rsidR="007F7A36">
        <w:rPr>
          <w:rFonts w:ascii="Times New Roman" w:eastAsia="Times New Roman" w:hAnsi="Times New Roman" w:cs="Times New Roman"/>
          <w:b/>
          <w:bCs/>
          <w:w w:val="110"/>
          <w:sz w:val="24"/>
          <w:szCs w:val="24"/>
          <w:lang w:val="en-US"/>
        </w:rPr>
        <w:t xml:space="preserve"> (STUDI KASUS PADA PERUSAHAAN SEKTOR BARANG KONSUMSI NON-PRIMER YANG TERDAFTAR DI BURSA EFEK INDONESIA PERIODE 2018-2022)</w:t>
      </w:r>
    </w:p>
    <w:p w14:paraId="773F44AF" w14:textId="77777777" w:rsidR="004673E8" w:rsidRPr="004673E8" w:rsidRDefault="004673E8" w:rsidP="004673E8">
      <w:pPr>
        <w:widowControl w:val="0"/>
        <w:autoSpaceDE w:val="0"/>
        <w:autoSpaceDN w:val="0"/>
        <w:spacing w:before="36" w:after="0" w:line="240" w:lineRule="auto"/>
        <w:ind w:left="1137" w:right="1268"/>
        <w:jc w:val="center"/>
        <w:rPr>
          <w:rFonts w:ascii="Times New Roman" w:eastAsia="Times New Roman" w:hAnsi="Times New Roman" w:cs="Times New Roman"/>
          <w:b/>
          <w:bCs/>
          <w:i/>
          <w:sz w:val="24"/>
          <w:szCs w:val="24"/>
          <w:lang w:val="en-US"/>
        </w:rPr>
      </w:pPr>
      <w:r w:rsidRPr="004673E8">
        <w:rPr>
          <w:rFonts w:ascii="Times New Roman" w:eastAsia="Times New Roman" w:hAnsi="Times New Roman" w:cs="Times New Roman"/>
          <w:b/>
          <w:bCs/>
          <w:i/>
          <w:w w:val="110"/>
          <w:sz w:val="24"/>
          <w:szCs w:val="24"/>
          <w:lang w:val="en-US"/>
        </w:rPr>
        <w:t xml:space="preserve">  </w:t>
      </w:r>
    </w:p>
    <w:p w14:paraId="513AD520" w14:textId="1D666BBC" w:rsidR="004673E8" w:rsidRPr="004673E8" w:rsidRDefault="007F7A36" w:rsidP="004673E8">
      <w:pPr>
        <w:widowControl w:val="0"/>
        <w:autoSpaceDE w:val="0"/>
        <w:autoSpaceDN w:val="0"/>
        <w:spacing w:after="0" w:line="240" w:lineRule="auto"/>
        <w:jc w:val="center"/>
        <w:rPr>
          <w:rFonts w:ascii="Times New Roman" w:eastAsia="Times New Roman" w:hAnsi="Times New Roman" w:cs="Times New Roman"/>
          <w:b/>
          <w:bCs/>
          <w:w w:val="110"/>
          <w:sz w:val="24"/>
          <w:szCs w:val="24"/>
          <w:lang w:val="en-US"/>
        </w:rPr>
      </w:pPr>
      <w:r w:rsidRPr="007F7A36">
        <w:rPr>
          <w:rFonts w:ascii="Times New Roman" w:eastAsia="Times New Roman" w:hAnsi="Times New Roman" w:cs="Times New Roman"/>
          <w:b/>
          <w:bCs/>
          <w:w w:val="110"/>
          <w:lang w:val="en-US"/>
        </w:rPr>
        <w:t xml:space="preserve">Imron </w:t>
      </w:r>
      <w:r w:rsidR="00197FFC">
        <w:rPr>
          <w:rFonts w:ascii="Times New Roman" w:eastAsia="Times New Roman" w:hAnsi="Times New Roman" w:cs="Times New Roman"/>
          <w:b/>
          <w:bCs/>
          <w:w w:val="110"/>
          <w:lang w:val="en-US"/>
        </w:rPr>
        <w:t>O</w:t>
      </w:r>
      <w:r w:rsidRPr="007F7A36">
        <w:rPr>
          <w:rFonts w:ascii="Times New Roman" w:eastAsia="Times New Roman" w:hAnsi="Times New Roman" w:cs="Times New Roman"/>
          <w:b/>
          <w:bCs/>
          <w:w w:val="110"/>
          <w:lang w:val="en-US"/>
        </w:rPr>
        <w:t>ktriza</w:t>
      </w:r>
      <w:r w:rsidR="004673E8" w:rsidRPr="007F7A36">
        <w:rPr>
          <w:rFonts w:ascii="Times New Roman" w:eastAsia="Times New Roman" w:hAnsi="Times New Roman" w:cs="Times New Roman"/>
          <w:b/>
          <w:bCs/>
          <w:w w:val="110"/>
          <w:vertAlign w:val="superscript"/>
          <w:lang w:val="en-US"/>
        </w:rPr>
        <w:t>1)</w:t>
      </w:r>
      <w:r w:rsidR="004673E8" w:rsidRPr="007F7A36">
        <w:rPr>
          <w:rFonts w:ascii="Times New Roman" w:eastAsia="Times New Roman" w:hAnsi="Times New Roman" w:cs="Times New Roman"/>
          <w:b/>
          <w:bCs/>
          <w:w w:val="110"/>
          <w:lang w:val="en-US"/>
        </w:rPr>
        <w:t xml:space="preserve">, </w:t>
      </w:r>
      <w:r w:rsidRPr="007F7A36">
        <w:rPr>
          <w:rFonts w:ascii="Times New Roman" w:eastAsia="Times New Roman" w:hAnsi="Times New Roman" w:cs="Times New Roman"/>
          <w:b/>
          <w:bCs/>
          <w:w w:val="110"/>
          <w:lang w:val="en-US"/>
        </w:rPr>
        <w:t>Mukhlizul Hamdi</w:t>
      </w:r>
      <w:r w:rsidR="004673E8" w:rsidRPr="007F7A36">
        <w:rPr>
          <w:rFonts w:ascii="Times New Roman" w:eastAsia="Times New Roman" w:hAnsi="Times New Roman" w:cs="Times New Roman"/>
          <w:b/>
          <w:bCs/>
          <w:w w:val="110"/>
          <w:vertAlign w:val="superscript"/>
          <w:lang w:val="en-US"/>
        </w:rPr>
        <w:t xml:space="preserve">2)        </w:t>
      </w:r>
    </w:p>
    <w:p w14:paraId="590F07A9" w14:textId="6F860F9D" w:rsidR="004673E8" w:rsidRPr="007F7A36" w:rsidRDefault="004673E8" w:rsidP="00784D06">
      <w:pPr>
        <w:widowControl w:val="0"/>
        <w:autoSpaceDE w:val="0"/>
        <w:autoSpaceDN w:val="0"/>
        <w:spacing w:after="0" w:line="240" w:lineRule="auto"/>
        <w:jc w:val="center"/>
        <w:rPr>
          <w:rFonts w:ascii="Times New Roman" w:eastAsia="Times New Roman" w:hAnsi="Times New Roman" w:cs="Times New Roman"/>
          <w:b/>
          <w:bCs/>
          <w:iCs/>
          <w:w w:val="110"/>
          <w:szCs w:val="24"/>
          <w:lang w:val="en-US"/>
        </w:rPr>
      </w:pPr>
      <w:r w:rsidRPr="007F7A36">
        <w:rPr>
          <w:rFonts w:ascii="Times New Roman" w:eastAsia="Times New Roman" w:hAnsi="Times New Roman" w:cs="Times New Roman"/>
          <w:b/>
          <w:bCs/>
          <w:iCs/>
          <w:w w:val="110"/>
          <w:szCs w:val="24"/>
          <w:lang w:val="en-US"/>
        </w:rPr>
        <w:t>Program Stud</w:t>
      </w:r>
      <w:r w:rsidR="007F7A36">
        <w:rPr>
          <w:rFonts w:ascii="Times New Roman" w:eastAsia="Times New Roman" w:hAnsi="Times New Roman" w:cs="Times New Roman"/>
          <w:b/>
          <w:bCs/>
          <w:iCs/>
          <w:w w:val="110"/>
          <w:szCs w:val="24"/>
          <w:lang w:val="en-US"/>
        </w:rPr>
        <w:t>i Akuntansi</w:t>
      </w:r>
      <w:r w:rsidRPr="007F7A36">
        <w:rPr>
          <w:rFonts w:ascii="Times New Roman" w:eastAsia="Times New Roman" w:hAnsi="Times New Roman" w:cs="Times New Roman"/>
          <w:b/>
          <w:bCs/>
          <w:iCs/>
          <w:w w:val="110"/>
          <w:szCs w:val="24"/>
          <w:lang w:val="en-US"/>
        </w:rPr>
        <w:t>, Fa</w:t>
      </w:r>
      <w:r w:rsidR="00197FFC">
        <w:rPr>
          <w:rFonts w:ascii="Times New Roman" w:eastAsia="Times New Roman" w:hAnsi="Times New Roman" w:cs="Times New Roman"/>
          <w:b/>
          <w:bCs/>
          <w:iCs/>
          <w:w w:val="110"/>
          <w:szCs w:val="24"/>
          <w:lang w:val="en-US"/>
        </w:rPr>
        <w:t>k</w:t>
      </w:r>
      <w:r w:rsidRPr="007F7A36">
        <w:rPr>
          <w:rFonts w:ascii="Times New Roman" w:eastAsia="Times New Roman" w:hAnsi="Times New Roman" w:cs="Times New Roman"/>
          <w:b/>
          <w:bCs/>
          <w:iCs/>
          <w:w w:val="110"/>
          <w:szCs w:val="24"/>
          <w:lang w:val="en-US"/>
        </w:rPr>
        <w:t>ultas Ekonomi dan Bisnis, Universitas Bung Hatta</w:t>
      </w:r>
    </w:p>
    <w:p w14:paraId="30A5D2D6" w14:textId="77777777" w:rsidR="004673E8" w:rsidRPr="004673E8" w:rsidRDefault="004673E8" w:rsidP="00784D06">
      <w:pPr>
        <w:widowControl w:val="0"/>
        <w:autoSpaceDE w:val="0"/>
        <w:autoSpaceDN w:val="0"/>
        <w:spacing w:after="0" w:line="240" w:lineRule="auto"/>
        <w:jc w:val="center"/>
        <w:rPr>
          <w:rFonts w:ascii="Times New Roman" w:eastAsia="Times New Roman" w:hAnsi="Times New Roman" w:cs="Times New Roman"/>
          <w:b/>
          <w:bCs/>
          <w:w w:val="110"/>
          <w:sz w:val="24"/>
          <w:szCs w:val="24"/>
          <w:lang w:val="en-US"/>
        </w:rPr>
      </w:pPr>
    </w:p>
    <w:p w14:paraId="6D5F572B" w14:textId="1881F38A" w:rsidR="004673E8" w:rsidRDefault="004673E8" w:rsidP="00784D06">
      <w:pPr>
        <w:widowControl w:val="0"/>
        <w:autoSpaceDE w:val="0"/>
        <w:autoSpaceDN w:val="0"/>
        <w:spacing w:after="0"/>
        <w:jc w:val="center"/>
        <w:rPr>
          <w:rFonts w:ascii="Times New Roman" w:eastAsia="Times New Roman" w:hAnsi="Times New Roman" w:cs="Times New Roman"/>
          <w:b/>
          <w:bCs/>
          <w:w w:val="110"/>
          <w:sz w:val="20"/>
          <w:szCs w:val="20"/>
          <w:lang w:val="en-US"/>
        </w:rPr>
      </w:pPr>
      <w:r w:rsidRPr="007F7A36">
        <w:rPr>
          <w:rFonts w:ascii="Times New Roman" w:eastAsia="Times New Roman" w:hAnsi="Times New Roman" w:cs="Times New Roman"/>
          <w:b/>
          <w:bCs/>
          <w:w w:val="110"/>
          <w:sz w:val="20"/>
          <w:szCs w:val="20"/>
          <w:lang w:val="en-US"/>
        </w:rPr>
        <w:t>E</w:t>
      </w:r>
      <w:r w:rsidR="00784D06">
        <w:rPr>
          <w:rFonts w:ascii="Times New Roman" w:eastAsia="Times New Roman" w:hAnsi="Times New Roman" w:cs="Times New Roman"/>
          <w:b/>
          <w:bCs/>
          <w:w w:val="110"/>
          <w:sz w:val="20"/>
          <w:szCs w:val="20"/>
          <w:lang w:val="en-US"/>
        </w:rPr>
        <w:t>m</w:t>
      </w:r>
      <w:r w:rsidRPr="007F7A36">
        <w:rPr>
          <w:rFonts w:ascii="Times New Roman" w:eastAsia="Times New Roman" w:hAnsi="Times New Roman" w:cs="Times New Roman"/>
          <w:b/>
          <w:bCs/>
          <w:w w:val="110"/>
          <w:sz w:val="20"/>
          <w:szCs w:val="20"/>
          <w:lang w:val="en-US"/>
        </w:rPr>
        <w:t xml:space="preserve">ail: </w:t>
      </w:r>
      <w:hyperlink r:id="rId8" w:history="1">
        <w:r w:rsidR="009251EF" w:rsidRPr="005C05DD">
          <w:rPr>
            <w:rStyle w:val="Hyperlink"/>
            <w:rFonts w:ascii="Times New Roman" w:eastAsia="Times New Roman" w:hAnsi="Times New Roman" w:cs="Times New Roman"/>
            <w:b/>
            <w:bCs/>
            <w:w w:val="110"/>
            <w:sz w:val="20"/>
            <w:szCs w:val="20"/>
            <w:lang w:val="en-US"/>
          </w:rPr>
          <w:t>oktriza.imron@gmail.com</w:t>
        </w:r>
        <w:r w:rsidR="009251EF" w:rsidRPr="005C05DD">
          <w:rPr>
            <w:rStyle w:val="Hyperlink"/>
            <w:rFonts w:ascii="Times New Roman" w:eastAsia="Times New Roman" w:hAnsi="Times New Roman" w:cs="Times New Roman"/>
            <w:b/>
            <w:bCs/>
            <w:w w:val="110"/>
            <w:sz w:val="20"/>
            <w:szCs w:val="20"/>
            <w:vertAlign w:val="superscript"/>
            <w:lang w:val="en-US"/>
          </w:rPr>
          <w:t>1</w:t>
        </w:r>
      </w:hyperlink>
      <w:r w:rsidR="009251EF">
        <w:rPr>
          <w:rFonts w:ascii="Times New Roman" w:eastAsia="Times New Roman" w:hAnsi="Times New Roman" w:cs="Times New Roman"/>
          <w:b/>
          <w:bCs/>
          <w:w w:val="110"/>
          <w:sz w:val="20"/>
          <w:szCs w:val="20"/>
          <w:vertAlign w:val="superscript"/>
          <w:lang w:val="en-US"/>
        </w:rPr>
        <w:t>)</w:t>
      </w:r>
      <w:r w:rsidR="009251EF" w:rsidRPr="007F7A36">
        <w:rPr>
          <w:rFonts w:ascii="Times New Roman" w:eastAsia="Times New Roman" w:hAnsi="Times New Roman" w:cs="Times New Roman"/>
          <w:b/>
          <w:bCs/>
          <w:w w:val="110"/>
          <w:sz w:val="20"/>
          <w:szCs w:val="20"/>
          <w:lang w:val="en-US"/>
        </w:rPr>
        <w:t xml:space="preserve"> </w:t>
      </w:r>
    </w:p>
    <w:p w14:paraId="1533B6C8" w14:textId="248FD37A" w:rsidR="00784D06" w:rsidRDefault="00784D06" w:rsidP="00784D06">
      <w:pPr>
        <w:widowControl w:val="0"/>
        <w:autoSpaceDE w:val="0"/>
        <w:autoSpaceDN w:val="0"/>
        <w:spacing w:after="0"/>
        <w:jc w:val="center"/>
        <w:rPr>
          <w:rFonts w:ascii="Times New Roman" w:eastAsia="Times New Roman" w:hAnsi="Times New Roman" w:cs="Times New Roman"/>
          <w:b/>
          <w:bCs/>
          <w:w w:val="110"/>
          <w:sz w:val="20"/>
          <w:szCs w:val="20"/>
          <w:lang w:val="en-US"/>
        </w:rPr>
      </w:pPr>
    </w:p>
    <w:p w14:paraId="3CB0C111" w14:textId="67C03CCE" w:rsidR="00784D06" w:rsidRDefault="00784D06" w:rsidP="00784D06">
      <w:pPr>
        <w:widowControl w:val="0"/>
        <w:autoSpaceDE w:val="0"/>
        <w:autoSpaceDN w:val="0"/>
        <w:spacing w:after="0" w:line="360" w:lineRule="auto"/>
        <w:jc w:val="center"/>
        <w:rPr>
          <w:rFonts w:ascii="Times New Roman" w:eastAsia="Times New Roman" w:hAnsi="Times New Roman" w:cs="Times New Roman"/>
          <w:b/>
          <w:bCs/>
          <w:w w:val="110"/>
          <w:lang w:val="en-US"/>
        </w:rPr>
      </w:pPr>
      <w:r w:rsidRPr="00784D06">
        <w:rPr>
          <w:rFonts w:ascii="Times New Roman" w:eastAsia="Times New Roman" w:hAnsi="Times New Roman" w:cs="Times New Roman"/>
          <w:b/>
          <w:bCs/>
          <w:w w:val="110"/>
          <w:lang w:val="en-US"/>
        </w:rPr>
        <w:t>ABSTRAK</w:t>
      </w:r>
    </w:p>
    <w:p w14:paraId="3BBEBA40" w14:textId="48410C3F" w:rsidR="00784D06" w:rsidRPr="00246145" w:rsidRDefault="00784D06" w:rsidP="00784D06">
      <w:pPr>
        <w:spacing w:after="0"/>
        <w:jc w:val="both"/>
        <w:rPr>
          <w:rFonts w:ascii="Times New Roman" w:hAnsi="Times New Roman" w:cs="Times New Roman"/>
          <w:i/>
          <w:iCs/>
        </w:rPr>
      </w:pPr>
      <w:r w:rsidRPr="00246145">
        <w:rPr>
          <w:rFonts w:ascii="Times New Roman" w:hAnsi="Times New Roman" w:cs="Times New Roman"/>
          <w:i/>
          <w:iCs/>
        </w:rPr>
        <w:t>Penelitian ini bertujuan untuk menguji secara empiris pengaruh opini audit, profitabilitas, dan solvabilitas terhadap audit delay. Populasi pada penelitian ini adalah perusahaan sektor barang konsumen non-primer yang terdaftar di Bursa Efek Indonesia (BEI) periode 2018-2022. Metode pengambilan sampel yang digunakan pada penelitian ini adalah teknik purposive sampling</w:t>
      </w:r>
      <w:r w:rsidRPr="00246145">
        <w:rPr>
          <w:rFonts w:ascii="Times New Roman" w:hAnsi="Times New Roman" w:cs="Times New Roman"/>
          <w:i/>
          <w:iCs/>
          <w:lang w:val="en-US"/>
        </w:rPr>
        <w:t xml:space="preserve">. </w:t>
      </w:r>
      <w:r w:rsidRPr="00246145">
        <w:rPr>
          <w:rFonts w:ascii="Times New Roman" w:hAnsi="Times New Roman" w:cs="Times New Roman"/>
          <w:i/>
          <w:iCs/>
        </w:rPr>
        <w:t>Metode analisis data yang digunakan pada penelitian ini adalah analisis regresi linear berganda yang diolah dengan menggunakan software SPSS versi 25. Hasil dari penelitian ini menunjukkan bahwa variabel profitabilitas berpengarih negatif terhadap audit delay. Sedangkan variabel opini audit dan solvabilitas tidak berpengaruh terhadap audit delay.</w:t>
      </w:r>
    </w:p>
    <w:p w14:paraId="6D1D9FFE" w14:textId="6F1C112F" w:rsidR="00784D06" w:rsidRPr="00246145" w:rsidRDefault="00784D06" w:rsidP="00784D06">
      <w:pPr>
        <w:spacing w:after="0"/>
        <w:jc w:val="both"/>
        <w:rPr>
          <w:rFonts w:ascii="Times New Roman" w:hAnsi="Times New Roman" w:cs="Times New Roman"/>
        </w:rPr>
      </w:pPr>
      <w:r w:rsidRPr="00246145">
        <w:rPr>
          <w:rFonts w:ascii="Times New Roman" w:hAnsi="Times New Roman" w:cs="Times New Roman"/>
          <w:b/>
          <w:bCs/>
        </w:rPr>
        <w:t xml:space="preserve">Kata Kunci: </w:t>
      </w:r>
      <w:r w:rsidRPr="00246145">
        <w:rPr>
          <w:rFonts w:ascii="Times New Roman" w:hAnsi="Times New Roman" w:cs="Times New Roman"/>
          <w:i/>
          <w:iCs/>
        </w:rPr>
        <w:t>Audit Delay</w:t>
      </w:r>
      <w:r w:rsidRPr="00246145">
        <w:rPr>
          <w:rFonts w:ascii="Times New Roman" w:hAnsi="Times New Roman" w:cs="Times New Roman"/>
        </w:rPr>
        <w:t>, Opini Audit, Profitabilitas, Solvabilitas</w:t>
      </w:r>
    </w:p>
    <w:p w14:paraId="3E054CF8" w14:textId="77777777" w:rsidR="00784D06" w:rsidRDefault="00784D06" w:rsidP="00784D06">
      <w:pPr>
        <w:widowControl w:val="0"/>
        <w:autoSpaceDE w:val="0"/>
        <w:autoSpaceDN w:val="0"/>
        <w:spacing w:after="0" w:line="240" w:lineRule="auto"/>
        <w:jc w:val="center"/>
        <w:rPr>
          <w:rFonts w:ascii="Times New Roman" w:eastAsia="Times New Roman" w:hAnsi="Times New Roman" w:cs="Times New Roman"/>
          <w:b/>
          <w:bCs/>
          <w:spacing w:val="-1"/>
          <w:w w:val="110"/>
          <w:sz w:val="24"/>
          <w:szCs w:val="24"/>
        </w:rPr>
      </w:pPr>
    </w:p>
    <w:p w14:paraId="7D9FECC0" w14:textId="125E12D6" w:rsidR="00784D06" w:rsidRPr="004673E8" w:rsidRDefault="00784D06" w:rsidP="00784D06">
      <w:pPr>
        <w:widowControl w:val="0"/>
        <w:autoSpaceDE w:val="0"/>
        <w:autoSpaceDN w:val="0"/>
        <w:spacing w:after="0" w:line="240" w:lineRule="auto"/>
        <w:rPr>
          <w:rFonts w:ascii="Times New Roman" w:eastAsia="Times New Roman" w:hAnsi="Times New Roman" w:cs="Times New Roman"/>
          <w:b/>
          <w:bCs/>
          <w:spacing w:val="-1"/>
          <w:w w:val="110"/>
          <w:sz w:val="24"/>
          <w:szCs w:val="24"/>
        </w:rPr>
        <w:sectPr w:rsidR="00784D06" w:rsidRPr="004673E8" w:rsidSect="006B2A4C">
          <w:headerReference w:type="default" r:id="rId9"/>
          <w:pgSz w:w="11906" w:h="16838" w:code="9"/>
          <w:pgMar w:top="1440" w:right="1440" w:bottom="1440" w:left="1440" w:header="708" w:footer="708" w:gutter="0"/>
          <w:cols w:space="708"/>
          <w:docGrid w:linePitch="360"/>
        </w:sectPr>
      </w:pPr>
    </w:p>
    <w:p w14:paraId="7B4A83BF" w14:textId="77777777" w:rsidR="004673E8" w:rsidRPr="002576D9" w:rsidRDefault="004673E8" w:rsidP="00246145">
      <w:pPr>
        <w:widowControl w:val="0"/>
        <w:autoSpaceDE w:val="0"/>
        <w:autoSpaceDN w:val="0"/>
        <w:spacing w:after="0" w:line="360" w:lineRule="auto"/>
        <w:rPr>
          <w:rFonts w:ascii="Times New Roman" w:eastAsia="Times New Roman" w:hAnsi="Times New Roman" w:cs="Times New Roman"/>
          <w:b/>
          <w:bCs/>
          <w:spacing w:val="-1"/>
          <w:w w:val="110"/>
        </w:rPr>
      </w:pPr>
      <w:r w:rsidRPr="004673E8">
        <w:rPr>
          <w:rFonts w:ascii="Times New Roman" w:eastAsia="Times New Roman" w:hAnsi="Times New Roman" w:cs="Times New Roman"/>
          <w:b/>
          <w:bCs/>
          <w:spacing w:val="-1"/>
          <w:w w:val="110"/>
          <w:lang w:val="en-US"/>
        </w:rPr>
        <w:t>PENDAHULUAN</w:t>
      </w:r>
      <w:r w:rsidRPr="004673E8">
        <w:rPr>
          <w:rFonts w:ascii="Times New Roman" w:eastAsia="Times New Roman" w:hAnsi="Times New Roman" w:cs="Times New Roman"/>
          <w:b/>
          <w:bCs/>
          <w:spacing w:val="-14"/>
          <w:w w:val="110"/>
          <w:lang w:val="en-US"/>
        </w:rPr>
        <w:t xml:space="preserve"> </w:t>
      </w:r>
      <w:r w:rsidRPr="004673E8">
        <w:rPr>
          <w:rFonts w:ascii="Times New Roman" w:eastAsia="Times New Roman" w:hAnsi="Times New Roman" w:cs="Times New Roman"/>
          <w:b/>
          <w:bCs/>
          <w:spacing w:val="-1"/>
          <w:w w:val="110"/>
          <w:lang w:val="en-US"/>
        </w:rPr>
        <w:t xml:space="preserve"> </w:t>
      </w:r>
    </w:p>
    <w:p w14:paraId="0E4C1A23" w14:textId="1EECD93A" w:rsidR="00246145" w:rsidRPr="00375C47" w:rsidRDefault="00246145" w:rsidP="00375C47">
      <w:pPr>
        <w:jc w:val="both"/>
        <w:rPr>
          <w:rFonts w:ascii="Times New Roman" w:hAnsi="Times New Roman" w:cs="Times New Roman"/>
        </w:rPr>
      </w:pPr>
      <w:r w:rsidRPr="00375C47">
        <w:rPr>
          <w:rFonts w:ascii="Times New Roman" w:hAnsi="Times New Roman" w:cs="Times New Roman"/>
        </w:rPr>
        <w:t>Perusahaan publik merupakan perusahaan yang menawarkan sahamnya kepada publik atau masyarakat umum dan terdaftar di Bursa Efek Indonesia (BEI).</w:t>
      </w:r>
      <w:r w:rsidRPr="00375C47">
        <w:rPr>
          <w:rFonts w:ascii="Times New Roman" w:hAnsi="Times New Roman" w:cs="Times New Roman"/>
          <w:lang w:val="en-US"/>
        </w:rPr>
        <w:t xml:space="preserve"> </w:t>
      </w:r>
      <w:r w:rsidRPr="00375C47">
        <w:rPr>
          <w:rFonts w:ascii="Times New Roman" w:hAnsi="Times New Roman" w:cs="Times New Roman"/>
        </w:rPr>
        <w:t>Sebagai perusahaan</w:t>
      </w:r>
      <w:r w:rsidRPr="00375C47">
        <w:rPr>
          <w:rFonts w:ascii="Times New Roman" w:hAnsi="Times New Roman" w:cs="Times New Roman"/>
          <w:i/>
          <w:iCs/>
        </w:rPr>
        <w:t xml:space="preserve"> </w:t>
      </w:r>
      <w:r w:rsidRPr="00375C47">
        <w:rPr>
          <w:rFonts w:ascii="Times New Roman" w:hAnsi="Times New Roman" w:cs="Times New Roman"/>
        </w:rPr>
        <w:t>publik, perusahaan yang terdaftar di Bursa Efek Indonesia (BEI) mempunyai kewajiban untuk menyampaikan laporan keuangan. Laporan keuangan yang disajikan harus berkualitas dan sesuai dengan standar akuntansi keuangan yang telah ditetapkan</w:t>
      </w:r>
      <w:r w:rsidR="00CA29E8">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"/>
          <w:id w:val="1624956101"/>
          <w:placeholder>
            <w:docPart w:val="DefaultPlaceholder_-1854013440"/>
          </w:placeholder>
        </w:sdtPr>
        <w:sdtEndPr/>
        <w:sdtContent>
          <w:r w:rsidR="00FC5FDC" w:rsidRPr="00FC5FDC">
            <w:rPr>
              <w:rFonts w:ascii="Times New Roman" w:hAnsi="Times New Roman" w:cs="Times New Roman"/>
              <w:color w:val="000000"/>
              <w:lang w:val="en-US"/>
            </w:rPr>
            <w:t>[1]</w:t>
          </w:r>
        </w:sdtContent>
      </w:sdt>
      <w:r w:rsidRPr="00375C47">
        <w:rPr>
          <w:rFonts w:ascii="Times New Roman" w:hAnsi="Times New Roman" w:cs="Times New Roman"/>
        </w:rPr>
        <w:t>.</w:t>
      </w:r>
      <w:r w:rsidRPr="00375C47">
        <w:rPr>
          <w:rFonts w:ascii="Times New Roman" w:hAnsi="Times New Roman" w:cs="Times New Roman"/>
          <w:lang w:val="en-US"/>
        </w:rPr>
        <w:t xml:space="preserve"> </w:t>
      </w:r>
      <w:bookmarkStart w:id="0" w:name="_Hlk161558637"/>
      <w:r w:rsidRPr="00375C47">
        <w:rPr>
          <w:rFonts w:ascii="Times New Roman" w:hAnsi="Times New Roman" w:cs="Times New Roman"/>
        </w:rPr>
        <w:t>Menurut Ikatan Akuntan Indonesia dalam pernyataan standar akuntansi keuangan (PSAK)</w:t>
      </w:r>
      <w:r w:rsidR="00FC5FDC">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"/>
          <w:id w:val="107486301"/>
          <w:placeholder>
            <w:docPart w:val="0D335A2AFFB54E83A36793240E1AA4E4"/>
          </w:placeholder>
        </w:sdtPr>
        <w:sdtEndPr/>
        <w:sdtContent>
          <w:r w:rsidR="00FC5FDC" w:rsidRPr="00FC5FDC">
            <w:rPr>
              <w:rFonts w:ascii="Times New Roman" w:hAnsi="Times New Roman" w:cs="Times New Roman"/>
              <w:color w:val="000000"/>
              <w:lang w:val="en-US"/>
            </w:rPr>
            <w:t>[2]</w:t>
          </w:r>
        </w:sdtContent>
      </w:sdt>
      <w:r w:rsidRPr="00375C47">
        <w:rPr>
          <w:rFonts w:ascii="Times New Roman" w:hAnsi="Times New Roman" w:cs="Times New Roman"/>
        </w:rPr>
        <w:t xml:space="preserve">, laporan keuangan adalah suatu penyajian yang terstruktur dari posisi dan kinerja keuangan suatu </w:t>
      </w:r>
      <w:bookmarkEnd w:id="0"/>
      <w:r w:rsidRPr="00375C47">
        <w:rPr>
          <w:rFonts w:ascii="Times New Roman" w:hAnsi="Times New Roman" w:cs="Times New Roman"/>
        </w:rPr>
        <w:t>perusahaan</w:t>
      </w:r>
      <w:r w:rsidRPr="00375C47">
        <w:rPr>
          <w:rFonts w:ascii="Times New Roman" w:hAnsi="Times New Roman" w:cs="Times New Roman"/>
          <w:lang w:val="en-US"/>
        </w:rPr>
        <w:t>.</w:t>
      </w:r>
      <w:r w:rsidRPr="00375C47">
        <w:rPr>
          <w:rFonts w:ascii="Times New Roman" w:hAnsi="Times New Roman" w:cs="Times New Roman"/>
        </w:rPr>
        <w:t xml:space="preserve"> Peraturan Otoritas Jasa Keuangan (OJK) No. 29/PJOK.04/2022 tentang Laporan Tahunan Emiten atau Perusahaan Publik pasal 7 ayat 1 menyatakan bahwa “Emiten atau perusahaan publik wajib menyampaikan laporan tahunan kepada Otoritas Jasa Keuangan (OJK) paling lambat pada akhir bulan ketiga setelah tahun tutup buku berakhir.”</w:t>
      </w:r>
      <w:r w:rsidRPr="00375C47">
        <w:rPr>
          <w:rFonts w:ascii="Times New Roman" w:hAnsi="Times New Roman" w:cs="Times New Roman"/>
          <w:lang w:val="en-US"/>
        </w:rPr>
        <w:t xml:space="preserve"> Berdasarkan data dari </w:t>
      </w:r>
      <w:hyperlink r:id="rId10" w:history="1">
        <w:r w:rsidRPr="00375C47">
          <w:rPr>
            <w:rStyle w:val="Hyperlink"/>
            <w:rFonts w:ascii="Times New Roman" w:hAnsi="Times New Roman" w:cs="Times New Roman"/>
            <w:lang w:val="en-US"/>
          </w:rPr>
          <w:t>www.idx.co.id</w:t>
        </w:r>
      </w:hyperlink>
      <w:r w:rsidRPr="00375C47">
        <w:rPr>
          <w:rFonts w:ascii="Times New Roman" w:hAnsi="Times New Roman" w:cs="Times New Roman"/>
          <w:lang w:val="en-US"/>
        </w:rPr>
        <w:t xml:space="preserve">, </w:t>
      </w:r>
      <w:r w:rsidRPr="00375C47">
        <w:rPr>
          <w:rFonts w:ascii="Times New Roman" w:hAnsi="Times New Roman" w:cs="Times New Roman"/>
        </w:rPr>
        <w:t xml:space="preserve">masih banyak perusahaan publik yang tidak tepat waktu dalam </w:t>
      </w:r>
      <w:r w:rsidRPr="00375C47">
        <w:rPr>
          <w:rFonts w:ascii="Times New Roman" w:hAnsi="Times New Roman" w:cs="Times New Roman"/>
        </w:rPr>
        <w:t>menyampaikan laporan keuangan yang diaudit</w:t>
      </w:r>
      <w:r w:rsidRPr="00375C47">
        <w:rPr>
          <w:rFonts w:ascii="Times New Roman" w:hAnsi="Times New Roman" w:cs="Times New Roman"/>
          <w:lang w:val="en-US"/>
        </w:rPr>
        <w:t>.</w:t>
      </w:r>
      <w:r w:rsidR="00375C47" w:rsidRPr="00375C47">
        <w:rPr>
          <w:rFonts w:ascii="Times New Roman" w:hAnsi="Times New Roman" w:cs="Times New Roman"/>
          <w:lang w:val="en-US"/>
        </w:rPr>
        <w:t xml:space="preserve"> D</w:t>
      </w:r>
      <w:r w:rsidR="00375C47" w:rsidRPr="00375C47">
        <w:rPr>
          <w:rFonts w:ascii="Times New Roman" w:hAnsi="Times New Roman" w:cs="Times New Roman"/>
        </w:rPr>
        <w:t>ari 12 sektor yang ada di Bursa Efek Indonesia (BEI), jumlah perusahaan pada sektor barang konsumen non-primer yang tidak tepat waktu dalam menyampaikan laporan keuangan yang diaudit selalu meningkat setiap tahunnya.</w:t>
      </w:r>
      <w:r w:rsidRPr="00375C47">
        <w:rPr>
          <w:rFonts w:ascii="Times New Roman" w:hAnsi="Times New Roman" w:cs="Times New Roman"/>
          <w:lang w:val="en-US"/>
        </w:rPr>
        <w:t xml:space="preserve"> </w:t>
      </w:r>
      <w:r w:rsidR="00375C47" w:rsidRPr="00375C47">
        <w:rPr>
          <w:rFonts w:ascii="Times New Roman" w:hAnsi="Times New Roman" w:cs="Times New Roman"/>
        </w:rPr>
        <w:t xml:space="preserve">Ketepatan waktu dalam menyampaikan laporan keuangan yang diaudit dipengaruhi oleh </w:t>
      </w:r>
      <w:r w:rsidR="00375C47" w:rsidRPr="00375C47">
        <w:rPr>
          <w:rFonts w:ascii="Times New Roman" w:hAnsi="Times New Roman" w:cs="Times New Roman"/>
          <w:i/>
          <w:iCs/>
        </w:rPr>
        <w:t xml:space="preserve">audit </w:t>
      </w:r>
      <w:r w:rsidR="00375C47" w:rsidRPr="00375C47">
        <w:rPr>
          <w:rFonts w:ascii="Times New Roman" w:hAnsi="Times New Roman" w:cs="Times New Roman"/>
        </w:rPr>
        <w:t xml:space="preserve">delay. </w:t>
      </w:r>
      <w:bookmarkStart w:id="1" w:name="_Hlk161489399"/>
      <w:r w:rsidR="00375C47" w:rsidRPr="00375C47">
        <w:rPr>
          <w:rFonts w:ascii="Times New Roman" w:hAnsi="Times New Roman" w:cs="Times New Roman"/>
        </w:rPr>
        <w:t xml:space="preserve">Menurut Ashton </w:t>
      </w:r>
      <w:r w:rsidR="00375C47" w:rsidRPr="00375C47">
        <w:rPr>
          <w:rFonts w:ascii="Times New Roman" w:hAnsi="Times New Roman" w:cs="Times New Roman"/>
          <w:i/>
          <w:iCs/>
        </w:rPr>
        <w:t>et al.</w:t>
      </w:r>
      <w:r w:rsidR="00375C47" w:rsidRPr="00375C47">
        <w:rPr>
          <w:rFonts w:ascii="Times New Roman" w:hAnsi="Times New Roman" w:cs="Times New Roman"/>
        </w:rPr>
        <w:t xml:space="preserve"> (1987), </w:t>
      </w:r>
      <w:r w:rsidR="00375C47" w:rsidRPr="00375C47">
        <w:rPr>
          <w:rFonts w:ascii="Times New Roman" w:hAnsi="Times New Roman" w:cs="Times New Roman"/>
          <w:i/>
          <w:iCs/>
        </w:rPr>
        <w:t>audit delay</w:t>
      </w:r>
      <w:r w:rsidR="00375C47" w:rsidRPr="00375C47">
        <w:rPr>
          <w:rFonts w:ascii="Times New Roman" w:hAnsi="Times New Roman" w:cs="Times New Roman"/>
        </w:rPr>
        <w:t xml:space="preserve"> adalah waktu yang dibutuhkan untuk menyelesaikan audit yang dihitung dari tanggal penutupan tahun buku hingga laporan keuangan yang diaudit</w:t>
      </w:r>
      <w:bookmarkEnd w:id="1"/>
      <w:r w:rsidR="00375C47" w:rsidRPr="00375C47">
        <w:rPr>
          <w:rFonts w:ascii="Times New Roman" w:hAnsi="Times New Roman" w:cs="Times New Roman"/>
        </w:rPr>
        <w:t xml:space="preserve"> diterbitkan</w:t>
      </w:r>
      <w:r w:rsidR="00375C47" w:rsidRPr="00375C47">
        <w:rPr>
          <w:rFonts w:ascii="Times New Roman" w:hAnsi="Times New Roman" w:cs="Times New Roman"/>
          <w:lang w:val="en-US"/>
        </w:rPr>
        <w:t xml:space="preserve">. </w:t>
      </w:r>
      <w:r w:rsidR="00375C47" w:rsidRPr="00375C47">
        <w:rPr>
          <w:rFonts w:ascii="Times New Roman" w:hAnsi="Times New Roman" w:cs="Times New Roman"/>
        </w:rPr>
        <w:t xml:space="preserve">Beberapa faktor yang memengaruhi </w:t>
      </w:r>
      <w:r w:rsidR="00375C47" w:rsidRPr="00375C47">
        <w:rPr>
          <w:rFonts w:ascii="Times New Roman" w:hAnsi="Times New Roman" w:cs="Times New Roman"/>
          <w:i/>
          <w:iCs/>
        </w:rPr>
        <w:t>audit delay</w:t>
      </w:r>
      <w:r w:rsidR="00375C47" w:rsidRPr="00375C47">
        <w:rPr>
          <w:rFonts w:ascii="Times New Roman" w:hAnsi="Times New Roman" w:cs="Times New Roman"/>
        </w:rPr>
        <w:t xml:space="preserve"> adalah opini audit, profitabilitas, dan solvabilitas.</w:t>
      </w:r>
    </w:p>
    <w:p w14:paraId="3DB53412" w14:textId="77777777" w:rsidR="004673E8" w:rsidRPr="004673E8" w:rsidRDefault="004673E8" w:rsidP="00375C47">
      <w:pPr>
        <w:widowControl w:val="0"/>
        <w:autoSpaceDE w:val="0"/>
        <w:autoSpaceDN w:val="0"/>
        <w:spacing w:after="0" w:line="360" w:lineRule="auto"/>
        <w:ind w:right="57"/>
        <w:jc w:val="both"/>
        <w:rPr>
          <w:rFonts w:ascii="Times New Roman" w:eastAsia="Times New Roman" w:hAnsi="Times New Roman" w:cs="Times New Roman"/>
          <w:b/>
          <w:bCs/>
          <w:w w:val="110"/>
          <w:lang w:val="en-US"/>
        </w:rPr>
      </w:pPr>
      <w:r w:rsidRPr="004673E8">
        <w:rPr>
          <w:rFonts w:ascii="Times New Roman" w:eastAsia="Times New Roman" w:hAnsi="Times New Roman" w:cs="Times New Roman"/>
          <w:b/>
          <w:bCs/>
          <w:w w:val="110"/>
          <w:lang w:val="en-US"/>
        </w:rPr>
        <w:t>METODE</w:t>
      </w:r>
    </w:p>
    <w:p w14:paraId="7042DFCF" w14:textId="2AAAB62D" w:rsidR="00AF78AD" w:rsidRDefault="00F751A2" w:rsidP="00AF78AD">
      <w:pPr>
        <w:widowControl w:val="0"/>
        <w:autoSpaceDE w:val="0"/>
        <w:autoSpaceDN w:val="0"/>
        <w:ind w:right="57"/>
        <w:jc w:val="both"/>
        <w:rPr>
          <w:rFonts w:ascii="Times New Roman" w:hAnsi="Times New Roman" w:cs="Times New Roman"/>
          <w:lang w:val="en-US"/>
        </w:rPr>
      </w:pPr>
      <w:r w:rsidRPr="00F751A2">
        <w:rPr>
          <w:rFonts w:ascii="Times New Roman" w:hAnsi="Times New Roman" w:cs="Times New Roman"/>
        </w:rPr>
        <w:t xml:space="preserve">Populasi pada penelitian ini adalah perusahaan sektor barang konsumen non-primer yang terdaftar di Bursa Efek Indonesia (BEI) periode 2018-2022. Metode pengambilan sampel yang digunakan pada penelitian ini adalah teknik </w:t>
      </w:r>
      <w:r w:rsidRPr="006C0821">
        <w:rPr>
          <w:rFonts w:ascii="Times New Roman" w:hAnsi="Times New Roman" w:cs="Times New Roman"/>
          <w:i/>
          <w:iCs/>
        </w:rPr>
        <w:t>purposive sampling</w:t>
      </w:r>
      <w:r w:rsidRPr="00F751A2">
        <w:rPr>
          <w:rFonts w:ascii="Times New Roman" w:hAnsi="Times New Roman" w:cs="Times New Roman"/>
        </w:rPr>
        <w:t xml:space="preserve">. Jenis data pada penelitian ini adalah data sekunder berupa data kuantitatif yang </w:t>
      </w:r>
      <w:r w:rsidRPr="00F751A2">
        <w:rPr>
          <w:rFonts w:ascii="Times New Roman" w:hAnsi="Times New Roman" w:cs="Times New Roman"/>
        </w:rPr>
        <w:lastRenderedPageBreak/>
        <w:t>berasal dari laporan keuangan perusahaan dan diperoleh melalui situs resmi Bursa Efek Indonesia (BEI) dan perusahaan. Metode analisis data yang digunakan pada penelitian ini adalah analisis regresi linear berganda yang diolah dengan menggunakan software SPSS versi 25</w:t>
      </w:r>
      <w:r>
        <w:rPr>
          <w:rFonts w:ascii="Times New Roman" w:hAnsi="Times New Roman" w:cs="Times New Roman"/>
          <w:lang w:val="en-US"/>
        </w:rPr>
        <w:t>.</w:t>
      </w:r>
      <w:r w:rsidR="00AF78AD">
        <w:rPr>
          <w:rFonts w:ascii="Times New Roman" w:hAnsi="Times New Roman" w:cs="Times New Roman"/>
          <w:lang w:val="en-US"/>
        </w:rPr>
        <w:t xml:space="preserve"> Alat ukur dari masing-masing variabel adalah sebagai berikut.</w:t>
      </w:r>
    </w:p>
    <w:p w14:paraId="04E23936" w14:textId="77777777" w:rsidR="00670313" w:rsidRDefault="00F751A2" w:rsidP="00F751A2">
      <w:pPr>
        <w:widowControl w:val="0"/>
        <w:autoSpaceDE w:val="0"/>
        <w:autoSpaceDN w:val="0"/>
        <w:ind w:right="57"/>
        <w:jc w:val="both"/>
        <w:rPr>
          <w:rFonts w:ascii="Times New Roman" w:hAnsi="Times New Roman" w:cs="Times New Roman"/>
          <w:lang w:val="en-US"/>
        </w:rPr>
      </w:pPr>
      <w:r>
        <w:rPr>
          <w:rFonts w:ascii="Times New Roman" w:hAnsi="Times New Roman" w:cs="Times New Roman"/>
          <w:lang w:val="en-US"/>
        </w:rPr>
        <w:t xml:space="preserve">Variabel </w:t>
      </w:r>
      <w:r>
        <w:rPr>
          <w:rFonts w:ascii="Times New Roman" w:hAnsi="Times New Roman" w:cs="Times New Roman"/>
          <w:i/>
          <w:iCs/>
          <w:lang w:val="en-US"/>
        </w:rPr>
        <w:t>audit delay</w:t>
      </w:r>
      <w:r>
        <w:rPr>
          <w:rFonts w:ascii="Times New Roman" w:hAnsi="Times New Roman" w:cs="Times New Roman"/>
          <w:lang w:val="en-US"/>
        </w:rPr>
        <w:t xml:space="preserve"> diukur dengan</w:t>
      </w:r>
      <w:r w:rsidR="00AF78AD">
        <w:rPr>
          <w:rFonts w:ascii="Times New Roman" w:hAnsi="Times New Roman" w:cs="Times New Roman"/>
          <w:lang w:val="en-US"/>
        </w:rPr>
        <w:t xml:space="preserve"> menggunakan rumus, yaitu tanggal laporan audit dikurangi dengan tanggal penutupan </w:t>
      </w:r>
      <w:proofErr w:type="gramStart"/>
      <w:r w:rsidR="00AF78AD">
        <w:rPr>
          <w:rFonts w:ascii="Times New Roman" w:hAnsi="Times New Roman" w:cs="Times New Roman"/>
          <w:lang w:val="en-US"/>
        </w:rPr>
        <w:t>buku</w:t>
      </w:r>
      <w:r w:rsidR="002D5070">
        <w:rPr>
          <w:rFonts w:ascii="Times New Roman" w:hAnsi="Times New Roman" w:cs="Times New Roman"/>
          <w:lang w:val="en-US"/>
        </w:rPr>
        <w:t xml:space="preserve"> .</w:t>
      </w:r>
      <w:proofErr w:type="gramEnd"/>
    </w:p>
    <w:p w14:paraId="27B374D3" w14:textId="6187F11E" w:rsidR="00AF78AD" w:rsidRPr="00670313" w:rsidRDefault="00670313" w:rsidP="00670313">
      <w:pPr>
        <w:pStyle w:val="Default"/>
        <w:spacing w:after="240" w:line="276" w:lineRule="auto"/>
        <w:jc w:val="both"/>
        <w:rPr>
          <w:b/>
          <w:bCs/>
          <w:sz w:val="22"/>
          <w:szCs w:val="22"/>
        </w:rPr>
      </w:pPr>
      <w:r>
        <w:rPr>
          <w:sz w:val="22"/>
          <w:szCs w:val="22"/>
        </w:rPr>
        <w:t xml:space="preserve">Variabel </w:t>
      </w:r>
      <w:r w:rsidRPr="00670313">
        <w:rPr>
          <w:sz w:val="22"/>
          <w:szCs w:val="22"/>
        </w:rPr>
        <w:t xml:space="preserve">Opini audit diukur menggunakan variabel dummy. Jika auditor memberikan opini yang tidak dimodifikasi kepada perusahaan, maka diberi nilai 1. Sedangkan jika auditor memberikan opini selain opini yang tidak dimodifikasi kepada perusahaan, maka diberi nilai 0 </w:t>
      </w:r>
      <w:sdt>
        <w:sdtPr>
          <w:rPr>
            <w:sz w:val="22"/>
            <w:szCs w:val="22"/>
          </w:rPr>
          <w:tag w:val="MENDELEY_CITATION_v3_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"/>
          <w:id w:val="-1725520580"/>
          <w:placeholder>
            <w:docPart w:val="DefaultPlaceholder_-1854013440"/>
          </w:placeholder>
        </w:sdtPr>
        <w:sdtEndPr/>
        <w:sdtContent>
          <w:r w:rsidR="00FC5FDC" w:rsidRPr="00FC5FDC">
            <w:rPr>
              <w:sz w:val="22"/>
              <w:szCs w:val="22"/>
            </w:rPr>
            <w:t>[3]</w:t>
          </w:r>
        </w:sdtContent>
      </w:sdt>
      <w:r w:rsidR="009037AC">
        <w:rPr>
          <w:sz w:val="22"/>
          <w:szCs w:val="22"/>
        </w:rPr>
        <w:t>.</w:t>
      </w:r>
    </w:p>
    <w:p w14:paraId="120987B3" w14:textId="7443F866" w:rsidR="00F751A2" w:rsidRPr="00AF78AD" w:rsidRDefault="00F751A2" w:rsidP="00F751A2">
      <w:pPr>
        <w:widowControl w:val="0"/>
        <w:autoSpaceDE w:val="0"/>
        <w:autoSpaceDN w:val="0"/>
        <w:ind w:right="57"/>
        <w:jc w:val="both"/>
        <w:rPr>
          <w:rFonts w:ascii="Times New Roman" w:hAnsi="Times New Roman" w:cs="Times New Roman"/>
          <w:lang w:val="en-US"/>
        </w:rPr>
      </w:pPr>
      <w:r>
        <w:rPr>
          <w:rFonts w:ascii="Times New Roman" w:eastAsia="Times New Roman" w:hAnsi="Times New Roman" w:cs="Times New Roman"/>
          <w:bCs/>
          <w:w w:val="110"/>
          <w:lang w:val="en-US"/>
        </w:rPr>
        <w:t>Variabel profitabilitas diukur dengan menggunakan rumus berikut</w:t>
      </w:r>
      <w:r w:rsidR="002D5070">
        <w:rPr>
          <w:rFonts w:ascii="Times New Roman" w:eastAsia="Times New Roman" w:hAnsi="Times New Roman" w:cs="Times New Roman"/>
          <w:bCs/>
          <w:w w:val="110"/>
          <w:lang w:val="en-US"/>
        </w:rPr>
        <w:t xml:space="preserve"> </w:t>
      </w:r>
      <w:sdt>
        <w:sdtPr>
          <w:rPr>
            <w:rFonts w:ascii="Times New Roman" w:eastAsia="Times New Roman" w:hAnsi="Times New Roman" w:cs="Times New Roman"/>
            <w:bCs/>
            <w:color w:val="000000"/>
            <w:w w:val="110"/>
            <w:lang w:val="en-US"/>
          </w:rPr>
          <w:tag w:val="MENDELEY_CITATION_v3_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"/>
          <w:id w:val="68170234"/>
          <w:placeholder>
            <w:docPart w:val="DefaultPlaceholder_-1854013440"/>
          </w:placeholder>
        </w:sdtPr>
        <w:sdtEndPr/>
        <w:sdtContent>
          <w:r w:rsidR="00FC5FDC" w:rsidRPr="00FC5FDC">
            <w:rPr>
              <w:rFonts w:ascii="Times New Roman" w:eastAsia="Times New Roman" w:hAnsi="Times New Roman" w:cs="Times New Roman"/>
              <w:bCs/>
              <w:color w:val="000000"/>
              <w:w w:val="110"/>
              <w:lang w:val="en-US"/>
            </w:rPr>
            <w:t>[4]</w:t>
          </w:r>
        </w:sdtContent>
      </w:sdt>
      <w:r>
        <w:rPr>
          <w:rFonts w:ascii="Times New Roman" w:eastAsia="Times New Roman" w:hAnsi="Times New Roman" w:cs="Times New Roman"/>
          <w:bCs/>
          <w:w w:val="110"/>
          <w:lang w:val="en-US"/>
        </w:rPr>
        <w:t>:</w:t>
      </w:r>
    </w:p>
    <w:p w14:paraId="1F379A16" w14:textId="73387D9F" w:rsidR="00F751A2" w:rsidRPr="00F751A2" w:rsidRDefault="00F751A2" w:rsidP="00F751A2">
      <w:pPr>
        <w:jc w:val="both"/>
        <w:rPr>
          <w:rFonts w:ascii="Times New Roman" w:hAnsi="Times New Roman" w:cs="Times New Roman"/>
          <w:bCs/>
          <w:iCs/>
        </w:rPr>
      </w:pPr>
      <m:oMathPara>
        <m:oMath>
          <m:r>
            <m:rPr>
              <m:sty m:val="p"/>
            </m:rPr>
            <w:rPr>
              <w:rFonts w:ascii="Cambria Math" w:hAnsi="Cambria Math" w:cs="Times New Roman"/>
            </w:rPr>
            <m:t>ROA=</m:t>
          </m:r>
          <m:f>
            <m:fPr>
              <m:ctrlPr>
                <w:rPr>
                  <w:rFonts w:ascii="Cambria Math" w:hAnsi="Cambria Math" w:cs="Times New Roman"/>
                  <w:bCs/>
                  <w:iCs/>
                </w:rPr>
              </m:ctrlPr>
            </m:fPr>
            <m:num>
              <m:r>
                <m:rPr>
                  <m:sty m:val="p"/>
                </m:rPr>
                <w:rPr>
                  <w:rFonts w:ascii="Cambria Math" w:hAnsi="Cambria Math" w:cs="Times New Roman"/>
                </w:rPr>
                <m:t>Laba Bersih</m:t>
              </m:r>
            </m:num>
            <m:den>
              <m:r>
                <m:rPr>
                  <m:sty m:val="p"/>
                </m:rPr>
                <w:rPr>
                  <w:rFonts w:ascii="Cambria Math" w:hAnsi="Cambria Math" w:cs="Times New Roman"/>
                </w:rPr>
                <m:t>Total Aset</m:t>
              </m:r>
            </m:den>
          </m:f>
          <m:r>
            <m:rPr>
              <m:sty m:val="p"/>
            </m:rPr>
            <w:rPr>
              <w:rFonts w:ascii="Cambria Math" w:hAnsi="Cambria Math" w:cs="Times New Roman"/>
            </w:rPr>
            <m:t>x 100 %</m:t>
          </m:r>
        </m:oMath>
      </m:oMathPara>
    </w:p>
    <w:p w14:paraId="7EF038F1" w14:textId="1E3BFB79" w:rsidR="00F751A2" w:rsidRDefault="00F751A2" w:rsidP="00F751A2">
      <w:pPr>
        <w:widowControl w:val="0"/>
        <w:autoSpaceDE w:val="0"/>
        <w:autoSpaceDN w:val="0"/>
        <w:ind w:right="57"/>
        <w:jc w:val="both"/>
        <w:rPr>
          <w:rFonts w:ascii="Times New Roman" w:eastAsia="Times New Roman" w:hAnsi="Times New Roman" w:cs="Times New Roman"/>
          <w:bCs/>
          <w:w w:val="110"/>
          <w:lang w:val="en-US"/>
        </w:rPr>
      </w:pPr>
      <w:r>
        <w:rPr>
          <w:rFonts w:ascii="Times New Roman" w:eastAsia="Times New Roman" w:hAnsi="Times New Roman" w:cs="Times New Roman"/>
          <w:bCs/>
          <w:w w:val="110"/>
          <w:lang w:val="en-US"/>
        </w:rPr>
        <w:t>Variabel solvabilitas diukur dengan menggunakan rumus berikut</w:t>
      </w:r>
      <w:r w:rsidR="006C0821">
        <w:rPr>
          <w:rFonts w:ascii="Times New Roman" w:eastAsia="Times New Roman" w:hAnsi="Times New Roman" w:cs="Times New Roman"/>
          <w:bCs/>
          <w:w w:val="110"/>
          <w:lang w:val="en-US"/>
        </w:rPr>
        <w:t xml:space="preserve"> </w:t>
      </w:r>
      <w:r w:rsidR="002D5070">
        <w:rPr>
          <w:rFonts w:ascii="Times New Roman" w:eastAsia="Times New Roman" w:hAnsi="Times New Roman" w:cs="Times New Roman"/>
          <w:bCs/>
          <w:w w:val="110"/>
          <w:lang w:val="en-US"/>
        </w:rPr>
        <w:t xml:space="preserve"> </w:t>
      </w:r>
      <w:sdt>
        <w:sdtPr>
          <w:rPr>
            <w:rFonts w:ascii="Times New Roman" w:eastAsia="Times New Roman" w:hAnsi="Times New Roman" w:cs="Times New Roman"/>
            <w:bCs/>
            <w:color w:val="000000"/>
            <w:w w:val="110"/>
            <w:lang w:val="en-US"/>
          </w:rPr>
          <w:tag w:val="MENDELEY_CITATION_v3_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"/>
          <w:id w:val="2115091670"/>
          <w:placeholder>
            <w:docPart w:val="DefaultPlaceholder_-1854013440"/>
          </w:placeholder>
        </w:sdtPr>
        <w:sdtEndPr/>
        <w:sdtContent>
          <w:r w:rsidR="00FC5FDC" w:rsidRPr="00FC5FDC">
            <w:rPr>
              <w:rFonts w:ascii="Times New Roman" w:eastAsia="Times New Roman" w:hAnsi="Times New Roman" w:cs="Times New Roman"/>
              <w:bCs/>
              <w:color w:val="000000"/>
              <w:w w:val="110"/>
              <w:lang w:val="en-US"/>
            </w:rPr>
            <w:t>[4]</w:t>
          </w:r>
        </w:sdtContent>
      </w:sdt>
      <w:r>
        <w:rPr>
          <w:rFonts w:ascii="Times New Roman" w:eastAsia="Times New Roman" w:hAnsi="Times New Roman" w:cs="Times New Roman"/>
          <w:bCs/>
          <w:w w:val="110"/>
          <w:lang w:val="en-US"/>
        </w:rPr>
        <w:t>:</w:t>
      </w:r>
    </w:p>
    <w:p w14:paraId="1FC6F916" w14:textId="7694FA87" w:rsidR="00F751A2" w:rsidRPr="00F751A2" w:rsidRDefault="00F751A2" w:rsidP="00F751A2">
      <w:pPr>
        <w:pStyle w:val="ListParagraph"/>
        <w:ind w:left="360"/>
        <w:jc w:val="both"/>
        <w:rPr>
          <w:rFonts w:ascii="Times New Roman" w:hAnsi="Times New Roman" w:cs="Times New Roman"/>
          <w:bCs/>
          <w:iCs/>
        </w:rPr>
      </w:pPr>
      <m:oMathPara>
        <m:oMath>
          <m:r>
            <m:rPr>
              <m:sty m:val="p"/>
            </m:rPr>
            <w:rPr>
              <w:rFonts w:ascii="Cambria Math" w:hAnsi="Cambria Math" w:cs="Times New Roman"/>
            </w:rPr>
            <m:t>DAR=</m:t>
          </m:r>
          <m:f>
            <m:fPr>
              <m:ctrlPr>
                <w:rPr>
                  <w:rFonts w:ascii="Cambria Math" w:hAnsi="Cambria Math" w:cs="Times New Roman"/>
                  <w:bCs/>
                  <w:iCs/>
                </w:rPr>
              </m:ctrlPr>
            </m:fPr>
            <m:num>
              <m:r>
                <m:rPr>
                  <m:sty m:val="p"/>
                </m:rPr>
                <w:rPr>
                  <w:rFonts w:ascii="Cambria Math" w:hAnsi="Cambria Math" w:cs="Times New Roman"/>
                </w:rPr>
                <m:t>Total Liabilitas</m:t>
              </m:r>
            </m:num>
            <m:den>
              <m:r>
                <m:rPr>
                  <m:sty m:val="p"/>
                </m:rPr>
                <w:rPr>
                  <w:rFonts w:ascii="Cambria Math" w:hAnsi="Cambria Math" w:cs="Times New Roman"/>
                </w:rPr>
                <m:t>Total Aset</m:t>
              </m:r>
            </m:den>
          </m:f>
          <m:r>
            <m:rPr>
              <m:sty m:val="p"/>
            </m:rPr>
            <w:rPr>
              <w:rFonts w:ascii="Cambria Math" w:hAnsi="Cambria Math" w:cs="Times New Roman"/>
            </w:rPr>
            <m:t xml:space="preserve"> x 100 %</m:t>
          </m:r>
        </m:oMath>
      </m:oMathPara>
    </w:p>
    <w:p w14:paraId="0FB96756" w14:textId="77777777" w:rsidR="004673E8" w:rsidRPr="004673E8" w:rsidRDefault="004673E8" w:rsidP="00AF78AD">
      <w:pPr>
        <w:widowControl w:val="0"/>
        <w:autoSpaceDE w:val="0"/>
        <w:autoSpaceDN w:val="0"/>
        <w:spacing w:after="0" w:line="360" w:lineRule="auto"/>
        <w:jc w:val="both"/>
        <w:rPr>
          <w:rFonts w:ascii="Times New Roman" w:eastAsia="Times New Roman" w:hAnsi="Times New Roman" w:cs="Times New Roman"/>
          <w:b/>
          <w:lang w:val="en-US"/>
        </w:rPr>
      </w:pPr>
      <w:r w:rsidRPr="004673E8">
        <w:rPr>
          <w:rFonts w:ascii="Times New Roman" w:eastAsia="Times New Roman" w:hAnsi="Times New Roman" w:cs="Times New Roman"/>
          <w:b/>
          <w:lang w:val="en-US"/>
        </w:rPr>
        <w:t>HASIL DAN PEMBAHASAN</w:t>
      </w:r>
    </w:p>
    <w:p w14:paraId="56BE12E0" w14:textId="2748FF57" w:rsidR="004673E8" w:rsidRPr="004673E8" w:rsidRDefault="004673E8" w:rsidP="00CB5952">
      <w:pPr>
        <w:widowControl w:val="0"/>
        <w:autoSpaceDE w:val="0"/>
        <w:autoSpaceDN w:val="0"/>
        <w:jc w:val="both"/>
        <w:rPr>
          <w:rFonts w:ascii="Times New Roman" w:eastAsia="Times New Roman" w:hAnsi="Times New Roman" w:cs="Times New Roman"/>
        </w:rPr>
      </w:pPr>
      <w:r w:rsidRPr="004673E8">
        <w:rPr>
          <w:rFonts w:ascii="Times New Roman" w:eastAsia="Times New Roman" w:hAnsi="Times New Roman" w:cs="Times New Roman"/>
          <w:lang w:val="en-US"/>
        </w:rPr>
        <w:t xml:space="preserve">Untuk membuktikan secara empiris pengaruh </w:t>
      </w:r>
      <w:r w:rsidR="00AF78AD">
        <w:rPr>
          <w:rFonts w:ascii="Times New Roman" w:eastAsia="Times New Roman" w:hAnsi="Times New Roman" w:cs="Times New Roman"/>
          <w:lang w:val="en-US"/>
        </w:rPr>
        <w:t>opini audit</w:t>
      </w:r>
      <w:r w:rsidRPr="004673E8">
        <w:rPr>
          <w:rFonts w:ascii="Times New Roman" w:eastAsia="Times New Roman" w:hAnsi="Times New Roman" w:cs="Times New Roman"/>
          <w:lang w:val="en-US"/>
        </w:rPr>
        <w:t>,</w:t>
      </w:r>
      <w:r w:rsidR="00AF78AD">
        <w:rPr>
          <w:rFonts w:ascii="Times New Roman" w:eastAsia="Times New Roman" w:hAnsi="Times New Roman" w:cs="Times New Roman"/>
          <w:lang w:val="en-US"/>
        </w:rPr>
        <w:t xml:space="preserve"> profitabilitas, dan solvabilitas terhadap </w:t>
      </w:r>
      <w:r w:rsidR="00AF78AD">
        <w:rPr>
          <w:rFonts w:ascii="Times New Roman" w:eastAsia="Times New Roman" w:hAnsi="Times New Roman" w:cs="Times New Roman"/>
          <w:i/>
          <w:iCs/>
          <w:lang w:val="en-US"/>
        </w:rPr>
        <w:t>audit delay</w:t>
      </w:r>
      <w:r w:rsidR="00AF78AD">
        <w:rPr>
          <w:rFonts w:ascii="Times New Roman" w:eastAsia="Times New Roman" w:hAnsi="Times New Roman" w:cs="Times New Roman"/>
          <w:lang w:val="en-US"/>
        </w:rPr>
        <w:t>,</w:t>
      </w:r>
      <w:r w:rsidRPr="004673E8">
        <w:rPr>
          <w:rFonts w:ascii="Times New Roman" w:eastAsia="Times New Roman" w:hAnsi="Times New Roman" w:cs="Times New Roman"/>
          <w:lang w:val="en-US"/>
        </w:rPr>
        <w:t xml:space="preserve"> maka dilakukan pengujian </w:t>
      </w:r>
      <w:r w:rsidR="00793525">
        <w:rPr>
          <w:rFonts w:ascii="Times New Roman" w:eastAsia="Times New Roman" w:hAnsi="Times New Roman" w:cs="Times New Roman"/>
          <w:lang w:val="en-US"/>
        </w:rPr>
        <w:t xml:space="preserve">dengan </w:t>
      </w:r>
      <w:r w:rsidR="00AF78AD">
        <w:rPr>
          <w:rFonts w:ascii="Times New Roman" w:eastAsia="Times New Roman" w:hAnsi="Times New Roman" w:cs="Times New Roman"/>
          <w:lang w:val="en-US"/>
        </w:rPr>
        <w:t xml:space="preserve">metode </w:t>
      </w:r>
      <w:r w:rsidRPr="004673E8">
        <w:rPr>
          <w:rFonts w:ascii="Times New Roman" w:eastAsia="Times New Roman" w:hAnsi="Times New Roman" w:cs="Times New Roman"/>
          <w:lang w:val="en-US"/>
        </w:rPr>
        <w:t xml:space="preserve">analisis regresi linear berganda </w:t>
      </w:r>
      <w:r w:rsidR="00793525">
        <w:rPr>
          <w:rFonts w:ascii="Times New Roman" w:eastAsia="Times New Roman" w:hAnsi="Times New Roman" w:cs="Times New Roman"/>
          <w:lang w:val="en-US"/>
        </w:rPr>
        <w:t>dengan hasil</w:t>
      </w:r>
      <w:r w:rsidR="00AF78AD">
        <w:rPr>
          <w:rFonts w:ascii="Times New Roman" w:eastAsia="Times New Roman" w:hAnsi="Times New Roman" w:cs="Times New Roman"/>
          <w:lang w:val="en-US"/>
        </w:rPr>
        <w:t xml:space="preserve"> sebagai berikut.</w:t>
      </w:r>
    </w:p>
    <w:p w14:paraId="54E703E6" w14:textId="197AC79C" w:rsidR="004673E8" w:rsidRPr="00CB5952" w:rsidRDefault="00CB5952" w:rsidP="00CB5952">
      <w:pPr>
        <w:spacing w:after="0"/>
        <w:rPr>
          <w:rFonts w:ascii="Times New Roman" w:eastAsia="Courier New" w:hAnsi="Times New Roman" w:cs="Times New Roman"/>
          <w:sz w:val="20"/>
          <w:szCs w:val="20"/>
          <w:lang w:val="en-ID" w:eastAsia="en-ID"/>
          <w14:ligatures w14:val="standardContextual"/>
        </w:rPr>
      </w:pPr>
      <w:r>
        <w:rPr>
          <w:rFonts w:ascii="Times New Roman" w:eastAsia="Courier New" w:hAnsi="Times New Roman" w:cs="Times New Roman"/>
          <w:sz w:val="20"/>
          <w:szCs w:val="20"/>
          <w:lang w:val="en-ID" w:eastAsia="en-ID"/>
          <w14:ligatures w14:val="standardContextual"/>
        </w:rPr>
        <w:t xml:space="preserve">      </w:t>
      </w:r>
      <w:r w:rsidR="004673E8" w:rsidRPr="00CB5952">
        <w:rPr>
          <w:rFonts w:ascii="Times New Roman" w:eastAsia="Courier New" w:hAnsi="Times New Roman" w:cs="Times New Roman"/>
          <w:sz w:val="20"/>
          <w:szCs w:val="20"/>
          <w:lang w:val="en-ID" w:eastAsia="en-ID"/>
          <w14:ligatures w14:val="standardContextual"/>
        </w:rPr>
        <w:t>Tabel 1.</w:t>
      </w:r>
      <w:r w:rsidR="00691C9D" w:rsidRPr="00CB5952">
        <w:rPr>
          <w:rFonts w:ascii="Times New Roman" w:eastAsia="Courier New" w:hAnsi="Times New Roman" w:cs="Times New Roman"/>
          <w:sz w:val="20"/>
          <w:szCs w:val="20"/>
          <w:lang w:val="en-ID" w:eastAsia="en-ID"/>
          <w14:ligatures w14:val="standardContextual"/>
        </w:rPr>
        <w:t xml:space="preserve"> </w:t>
      </w:r>
      <w:r w:rsidR="004673E8" w:rsidRPr="00CB5952">
        <w:rPr>
          <w:rFonts w:ascii="Times New Roman" w:eastAsia="Courier New" w:hAnsi="Times New Roman" w:cs="Times New Roman"/>
          <w:sz w:val="20"/>
          <w:szCs w:val="20"/>
          <w:lang w:val="en-ID" w:eastAsia="en-ID"/>
          <w14:ligatures w14:val="standardContextual"/>
        </w:rPr>
        <w:t>Hasil Uji</w:t>
      </w:r>
      <w:r>
        <w:rPr>
          <w:rFonts w:ascii="Times New Roman" w:eastAsia="Courier New" w:hAnsi="Times New Roman" w:cs="Times New Roman"/>
          <w:sz w:val="20"/>
          <w:szCs w:val="20"/>
          <w:lang w:val="en-ID" w:eastAsia="en-ID"/>
          <w14:ligatures w14:val="standardContextual"/>
        </w:rPr>
        <w:t xml:space="preserve"> Regresi Linear Berganda</w:t>
      </w:r>
    </w:p>
    <w:tbl>
      <w:tblPr>
        <w:tblW w:w="411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4"/>
        <w:gridCol w:w="923"/>
        <w:gridCol w:w="632"/>
        <w:gridCol w:w="576"/>
        <w:gridCol w:w="846"/>
      </w:tblGrid>
      <w:tr w:rsidR="0001440E" w:rsidRPr="002576D9" w14:paraId="1313C8E5" w14:textId="77777777" w:rsidTr="009037AC">
        <w:trPr>
          <w:trHeight w:val="446"/>
        </w:trPr>
        <w:tc>
          <w:tcPr>
            <w:tcW w:w="1134" w:type="dxa"/>
            <w:tcBorders>
              <w:top w:val="single" w:sz="12" w:space="0" w:color="auto"/>
              <w:left w:val="nil"/>
              <w:bottom w:val="single" w:sz="12" w:space="0" w:color="auto"/>
            </w:tcBorders>
            <w:shd w:val="clear" w:color="auto" w:fill="DBE5F1" w:themeFill="accent1" w:themeFillTint="33"/>
            <w:noWrap/>
            <w:vAlign w:val="center"/>
            <w:hideMark/>
          </w:tcPr>
          <w:p w14:paraId="3D8D774E" w14:textId="77777777" w:rsidR="004673E8" w:rsidRPr="002576D9" w:rsidRDefault="004673E8" w:rsidP="00784D06">
            <w:pPr>
              <w:widowControl w:val="0"/>
              <w:autoSpaceDE w:val="0"/>
              <w:autoSpaceDN w:val="0"/>
              <w:spacing w:after="0"/>
              <w:jc w:val="center"/>
              <w:rPr>
                <w:rFonts w:ascii="Times New Roman" w:hAnsi="Times New Roman" w:cs="Times New Roman"/>
                <w:sz w:val="16"/>
                <w:lang w:val="en-US"/>
              </w:rPr>
            </w:pPr>
            <w:r w:rsidRPr="002576D9">
              <w:rPr>
                <w:rFonts w:ascii="Times New Roman" w:hAnsi="Times New Roman" w:cs="Times New Roman"/>
                <w:sz w:val="16"/>
                <w:lang w:val="en-US"/>
              </w:rPr>
              <w:t>Variabel</w:t>
            </w:r>
          </w:p>
        </w:tc>
        <w:tc>
          <w:tcPr>
            <w:tcW w:w="923" w:type="dxa"/>
            <w:tcBorders>
              <w:top w:val="single" w:sz="12" w:space="0" w:color="auto"/>
              <w:bottom w:val="single" w:sz="12" w:space="0" w:color="auto"/>
            </w:tcBorders>
            <w:shd w:val="clear" w:color="auto" w:fill="DBE5F1" w:themeFill="accent1" w:themeFillTint="33"/>
            <w:noWrap/>
            <w:vAlign w:val="center"/>
            <w:hideMark/>
          </w:tcPr>
          <w:p w14:paraId="7726C2A0" w14:textId="60E6A40D" w:rsidR="004673E8" w:rsidRPr="002576D9" w:rsidRDefault="004673E8" w:rsidP="00784D06">
            <w:pPr>
              <w:widowControl w:val="0"/>
              <w:autoSpaceDE w:val="0"/>
              <w:autoSpaceDN w:val="0"/>
              <w:spacing w:after="0"/>
              <w:jc w:val="center"/>
              <w:rPr>
                <w:rFonts w:ascii="Times New Roman" w:hAnsi="Times New Roman" w:cs="Times New Roman"/>
                <w:sz w:val="16"/>
                <w:lang w:val="en-US"/>
              </w:rPr>
            </w:pPr>
            <w:r w:rsidRPr="002576D9">
              <w:rPr>
                <w:rFonts w:ascii="Times New Roman" w:hAnsi="Times New Roman" w:cs="Times New Roman"/>
                <w:sz w:val="16"/>
                <w:lang w:val="en-US"/>
              </w:rPr>
              <w:t>Coef.</w:t>
            </w:r>
            <w:r w:rsidR="00CB5952">
              <w:rPr>
                <w:rFonts w:ascii="Times New Roman" w:hAnsi="Times New Roman" w:cs="Times New Roman"/>
                <w:sz w:val="16"/>
                <w:lang w:val="en-US"/>
              </w:rPr>
              <w:t xml:space="preserve"> Reg.</w:t>
            </w:r>
          </w:p>
        </w:tc>
        <w:tc>
          <w:tcPr>
            <w:tcW w:w="632" w:type="dxa"/>
            <w:tcBorders>
              <w:top w:val="single" w:sz="12" w:space="0" w:color="auto"/>
              <w:bottom w:val="single" w:sz="12" w:space="0" w:color="auto"/>
            </w:tcBorders>
            <w:shd w:val="clear" w:color="auto" w:fill="DBE5F1" w:themeFill="accent1" w:themeFillTint="33"/>
            <w:noWrap/>
            <w:vAlign w:val="center"/>
            <w:hideMark/>
          </w:tcPr>
          <w:p w14:paraId="2505656B" w14:textId="029155E1" w:rsidR="004673E8" w:rsidRPr="002576D9" w:rsidRDefault="00CB5952"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t</w:t>
            </w:r>
          </w:p>
        </w:tc>
        <w:tc>
          <w:tcPr>
            <w:tcW w:w="576" w:type="dxa"/>
            <w:tcBorders>
              <w:top w:val="single" w:sz="12" w:space="0" w:color="auto"/>
              <w:bottom w:val="single" w:sz="12" w:space="0" w:color="auto"/>
            </w:tcBorders>
            <w:shd w:val="clear" w:color="auto" w:fill="DBE5F1" w:themeFill="accent1" w:themeFillTint="33"/>
            <w:noWrap/>
            <w:vAlign w:val="center"/>
            <w:hideMark/>
          </w:tcPr>
          <w:p w14:paraId="5B1085EC" w14:textId="0084FD61" w:rsidR="004673E8" w:rsidRPr="002576D9" w:rsidRDefault="00CB5952"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Sig.</w:t>
            </w:r>
          </w:p>
        </w:tc>
        <w:tc>
          <w:tcPr>
            <w:tcW w:w="846" w:type="dxa"/>
            <w:tcBorders>
              <w:top w:val="single" w:sz="12" w:space="0" w:color="auto"/>
              <w:bottom w:val="single" w:sz="12" w:space="0" w:color="auto"/>
              <w:right w:val="nil"/>
            </w:tcBorders>
            <w:shd w:val="clear" w:color="auto" w:fill="DBE5F1" w:themeFill="accent1" w:themeFillTint="33"/>
            <w:noWrap/>
            <w:vAlign w:val="center"/>
            <w:hideMark/>
          </w:tcPr>
          <w:p w14:paraId="23EE9696" w14:textId="08F914A2" w:rsidR="004673E8" w:rsidRPr="002576D9" w:rsidRDefault="004673E8" w:rsidP="00784D06">
            <w:pPr>
              <w:widowControl w:val="0"/>
              <w:autoSpaceDE w:val="0"/>
              <w:autoSpaceDN w:val="0"/>
              <w:spacing w:after="0"/>
              <w:jc w:val="center"/>
              <w:rPr>
                <w:rFonts w:ascii="Times New Roman" w:hAnsi="Times New Roman" w:cs="Times New Roman"/>
                <w:sz w:val="16"/>
                <w:lang w:val="en-US"/>
              </w:rPr>
            </w:pPr>
            <w:r w:rsidRPr="002576D9">
              <w:rPr>
                <w:rFonts w:ascii="Times New Roman" w:hAnsi="Times New Roman" w:cs="Times New Roman"/>
                <w:sz w:val="16"/>
                <w:lang w:val="en-US"/>
              </w:rPr>
              <w:t>Ket</w:t>
            </w:r>
            <w:r w:rsidR="00CB5952">
              <w:rPr>
                <w:rFonts w:ascii="Times New Roman" w:hAnsi="Times New Roman" w:cs="Times New Roman"/>
                <w:sz w:val="16"/>
                <w:lang w:val="en-US"/>
              </w:rPr>
              <w:t>.</w:t>
            </w:r>
          </w:p>
        </w:tc>
      </w:tr>
      <w:tr w:rsidR="0001440E" w:rsidRPr="002576D9" w14:paraId="14E65F4A" w14:textId="77777777" w:rsidTr="009037AC">
        <w:trPr>
          <w:trHeight w:val="321"/>
        </w:trPr>
        <w:tc>
          <w:tcPr>
            <w:tcW w:w="1134" w:type="dxa"/>
            <w:tcBorders>
              <w:top w:val="single" w:sz="12" w:space="0" w:color="auto"/>
              <w:left w:val="nil"/>
              <w:bottom w:val="nil"/>
            </w:tcBorders>
            <w:shd w:val="clear" w:color="auto" w:fill="auto"/>
            <w:noWrap/>
            <w:vAlign w:val="center"/>
            <w:hideMark/>
          </w:tcPr>
          <w:p w14:paraId="790EA8D8" w14:textId="428CA8C6" w:rsidR="004673E8" w:rsidRPr="002576D9" w:rsidRDefault="00CB5952" w:rsidP="002D5070">
            <w:pPr>
              <w:widowControl w:val="0"/>
              <w:autoSpaceDE w:val="0"/>
              <w:autoSpaceDN w:val="0"/>
              <w:spacing w:after="0"/>
              <w:rPr>
                <w:rFonts w:ascii="Times New Roman" w:hAnsi="Times New Roman" w:cs="Times New Roman"/>
                <w:sz w:val="16"/>
                <w:lang w:val="en-US"/>
              </w:rPr>
            </w:pPr>
            <w:r>
              <w:rPr>
                <w:rFonts w:ascii="Times New Roman" w:hAnsi="Times New Roman" w:cs="Times New Roman"/>
                <w:sz w:val="16"/>
                <w:lang w:val="en-US"/>
              </w:rPr>
              <w:t>Opini Audit</w:t>
            </w:r>
          </w:p>
        </w:tc>
        <w:tc>
          <w:tcPr>
            <w:tcW w:w="923" w:type="dxa"/>
            <w:tcBorders>
              <w:top w:val="single" w:sz="12" w:space="0" w:color="auto"/>
              <w:bottom w:val="nil"/>
            </w:tcBorders>
            <w:shd w:val="clear" w:color="auto" w:fill="auto"/>
            <w:noWrap/>
            <w:vAlign w:val="center"/>
            <w:hideMark/>
          </w:tcPr>
          <w:p w14:paraId="42705464" w14:textId="292D4DC1" w:rsidR="004673E8" w:rsidRPr="002576D9" w:rsidRDefault="002D5070"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-2,224</w:t>
            </w:r>
          </w:p>
        </w:tc>
        <w:tc>
          <w:tcPr>
            <w:tcW w:w="632" w:type="dxa"/>
            <w:tcBorders>
              <w:top w:val="single" w:sz="12" w:space="0" w:color="auto"/>
              <w:bottom w:val="nil"/>
            </w:tcBorders>
            <w:shd w:val="clear" w:color="auto" w:fill="auto"/>
            <w:noWrap/>
            <w:vAlign w:val="center"/>
            <w:hideMark/>
          </w:tcPr>
          <w:p w14:paraId="6A6245C9" w14:textId="2CA38D2C" w:rsidR="004673E8" w:rsidRPr="002576D9" w:rsidRDefault="00CB5952"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-0,966</w:t>
            </w:r>
          </w:p>
        </w:tc>
        <w:tc>
          <w:tcPr>
            <w:tcW w:w="576" w:type="dxa"/>
            <w:tcBorders>
              <w:top w:val="single" w:sz="12" w:space="0" w:color="auto"/>
              <w:bottom w:val="nil"/>
            </w:tcBorders>
            <w:shd w:val="clear" w:color="auto" w:fill="auto"/>
            <w:noWrap/>
            <w:vAlign w:val="center"/>
            <w:hideMark/>
          </w:tcPr>
          <w:p w14:paraId="571C1878" w14:textId="796C6948" w:rsidR="004673E8" w:rsidRPr="002576D9" w:rsidRDefault="004673E8" w:rsidP="00784D06">
            <w:pPr>
              <w:widowControl w:val="0"/>
              <w:autoSpaceDE w:val="0"/>
              <w:autoSpaceDN w:val="0"/>
              <w:spacing w:after="0"/>
              <w:jc w:val="center"/>
              <w:rPr>
                <w:rFonts w:ascii="Times New Roman" w:hAnsi="Times New Roman" w:cs="Times New Roman"/>
                <w:sz w:val="16"/>
                <w:lang w:val="en-US"/>
              </w:rPr>
            </w:pPr>
            <w:r w:rsidRPr="002576D9">
              <w:rPr>
                <w:rFonts w:ascii="Times New Roman" w:hAnsi="Times New Roman" w:cs="Times New Roman"/>
                <w:sz w:val="16"/>
                <w:lang w:val="en-US"/>
              </w:rPr>
              <w:t>0,</w:t>
            </w:r>
            <w:r w:rsidR="00CB5952">
              <w:rPr>
                <w:rFonts w:ascii="Times New Roman" w:hAnsi="Times New Roman" w:cs="Times New Roman"/>
                <w:sz w:val="16"/>
                <w:lang w:val="en-US"/>
              </w:rPr>
              <w:t>335</w:t>
            </w:r>
          </w:p>
        </w:tc>
        <w:tc>
          <w:tcPr>
            <w:tcW w:w="846" w:type="dxa"/>
            <w:tcBorders>
              <w:top w:val="single" w:sz="12" w:space="0" w:color="auto"/>
              <w:bottom w:val="nil"/>
              <w:right w:val="nil"/>
            </w:tcBorders>
            <w:shd w:val="clear" w:color="auto" w:fill="auto"/>
            <w:noWrap/>
            <w:vAlign w:val="center"/>
            <w:hideMark/>
          </w:tcPr>
          <w:p w14:paraId="6BE3955F" w14:textId="1DB0CF39" w:rsidR="004673E8" w:rsidRPr="002576D9" w:rsidRDefault="00CB5952"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Ditolak</w:t>
            </w:r>
          </w:p>
        </w:tc>
      </w:tr>
      <w:tr w:rsidR="0001440E" w:rsidRPr="002576D9" w14:paraId="7F3DA25B" w14:textId="77777777" w:rsidTr="009037AC">
        <w:trPr>
          <w:trHeight w:val="321"/>
        </w:trPr>
        <w:tc>
          <w:tcPr>
            <w:tcW w:w="1134" w:type="dxa"/>
            <w:tcBorders>
              <w:top w:val="nil"/>
              <w:left w:val="nil"/>
              <w:bottom w:val="nil"/>
            </w:tcBorders>
            <w:shd w:val="clear" w:color="auto" w:fill="auto"/>
            <w:noWrap/>
            <w:vAlign w:val="center"/>
            <w:hideMark/>
          </w:tcPr>
          <w:p w14:paraId="64E2646F" w14:textId="00487F55" w:rsidR="004673E8" w:rsidRPr="002576D9" w:rsidRDefault="00CB5952" w:rsidP="002D5070">
            <w:pPr>
              <w:widowControl w:val="0"/>
              <w:autoSpaceDE w:val="0"/>
              <w:autoSpaceDN w:val="0"/>
              <w:spacing w:after="0"/>
              <w:rPr>
                <w:rFonts w:ascii="Times New Roman" w:hAnsi="Times New Roman" w:cs="Times New Roman"/>
                <w:sz w:val="16"/>
                <w:lang w:val="en-US"/>
              </w:rPr>
            </w:pPr>
            <w:r>
              <w:rPr>
                <w:rFonts w:ascii="Times New Roman" w:hAnsi="Times New Roman" w:cs="Times New Roman"/>
                <w:sz w:val="16"/>
                <w:lang w:val="en-US"/>
              </w:rPr>
              <w:t>Profitabilitas</w:t>
            </w:r>
          </w:p>
        </w:tc>
        <w:tc>
          <w:tcPr>
            <w:tcW w:w="923" w:type="dxa"/>
            <w:tcBorders>
              <w:top w:val="nil"/>
              <w:bottom w:val="nil"/>
            </w:tcBorders>
            <w:shd w:val="clear" w:color="auto" w:fill="auto"/>
            <w:noWrap/>
            <w:vAlign w:val="center"/>
            <w:hideMark/>
          </w:tcPr>
          <w:p w14:paraId="5C33EC43" w14:textId="15787D82" w:rsidR="004673E8" w:rsidRPr="002576D9" w:rsidRDefault="004673E8" w:rsidP="00784D06">
            <w:pPr>
              <w:widowControl w:val="0"/>
              <w:autoSpaceDE w:val="0"/>
              <w:autoSpaceDN w:val="0"/>
              <w:spacing w:after="0"/>
              <w:jc w:val="center"/>
              <w:rPr>
                <w:rFonts w:ascii="Times New Roman" w:hAnsi="Times New Roman" w:cs="Times New Roman"/>
                <w:sz w:val="16"/>
                <w:lang w:val="en-US"/>
              </w:rPr>
            </w:pPr>
            <w:r w:rsidRPr="002576D9">
              <w:rPr>
                <w:rFonts w:ascii="Times New Roman" w:hAnsi="Times New Roman" w:cs="Times New Roman"/>
                <w:sz w:val="16"/>
                <w:lang w:val="en-US"/>
              </w:rPr>
              <w:t>-</w:t>
            </w:r>
            <w:r w:rsidR="002D5070">
              <w:rPr>
                <w:rFonts w:ascii="Times New Roman" w:hAnsi="Times New Roman" w:cs="Times New Roman"/>
                <w:sz w:val="16"/>
                <w:lang w:val="en-US"/>
              </w:rPr>
              <w:t>0,525</w:t>
            </w:r>
          </w:p>
        </w:tc>
        <w:tc>
          <w:tcPr>
            <w:tcW w:w="632" w:type="dxa"/>
            <w:tcBorders>
              <w:top w:val="nil"/>
              <w:bottom w:val="nil"/>
            </w:tcBorders>
            <w:shd w:val="clear" w:color="auto" w:fill="auto"/>
            <w:noWrap/>
            <w:vAlign w:val="center"/>
            <w:hideMark/>
          </w:tcPr>
          <w:p w14:paraId="4EFB9C6F" w14:textId="1D8CA989" w:rsidR="004673E8" w:rsidRPr="002576D9" w:rsidRDefault="00CB5952"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-3,452</w:t>
            </w:r>
          </w:p>
        </w:tc>
        <w:tc>
          <w:tcPr>
            <w:tcW w:w="576" w:type="dxa"/>
            <w:tcBorders>
              <w:top w:val="nil"/>
              <w:bottom w:val="nil"/>
            </w:tcBorders>
            <w:shd w:val="clear" w:color="auto" w:fill="auto"/>
            <w:noWrap/>
            <w:vAlign w:val="center"/>
            <w:hideMark/>
          </w:tcPr>
          <w:p w14:paraId="25AD1CDA" w14:textId="4BDEF5FA" w:rsidR="004673E8" w:rsidRPr="002576D9" w:rsidRDefault="004673E8" w:rsidP="00784D06">
            <w:pPr>
              <w:widowControl w:val="0"/>
              <w:autoSpaceDE w:val="0"/>
              <w:autoSpaceDN w:val="0"/>
              <w:spacing w:after="0"/>
              <w:jc w:val="center"/>
              <w:rPr>
                <w:rFonts w:ascii="Times New Roman" w:hAnsi="Times New Roman" w:cs="Times New Roman"/>
                <w:sz w:val="16"/>
                <w:lang w:val="en-US"/>
              </w:rPr>
            </w:pPr>
            <w:r w:rsidRPr="002576D9">
              <w:rPr>
                <w:rFonts w:ascii="Times New Roman" w:hAnsi="Times New Roman" w:cs="Times New Roman"/>
                <w:sz w:val="16"/>
                <w:lang w:val="en-US"/>
              </w:rPr>
              <w:t>0,</w:t>
            </w:r>
            <w:r w:rsidR="00CB5952">
              <w:rPr>
                <w:rFonts w:ascii="Times New Roman" w:hAnsi="Times New Roman" w:cs="Times New Roman"/>
                <w:sz w:val="16"/>
                <w:lang w:val="en-US"/>
              </w:rPr>
              <w:t>001</w:t>
            </w:r>
          </w:p>
        </w:tc>
        <w:tc>
          <w:tcPr>
            <w:tcW w:w="846" w:type="dxa"/>
            <w:tcBorders>
              <w:top w:val="nil"/>
              <w:bottom w:val="nil"/>
              <w:right w:val="nil"/>
            </w:tcBorders>
            <w:shd w:val="clear" w:color="auto" w:fill="auto"/>
            <w:noWrap/>
            <w:vAlign w:val="center"/>
            <w:hideMark/>
          </w:tcPr>
          <w:p w14:paraId="7D389874" w14:textId="785F7166" w:rsidR="004673E8" w:rsidRPr="002576D9" w:rsidRDefault="00CB5952"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Diterima</w:t>
            </w:r>
          </w:p>
        </w:tc>
      </w:tr>
      <w:tr w:rsidR="0001440E" w:rsidRPr="002576D9" w14:paraId="025C98C1" w14:textId="77777777" w:rsidTr="009037AC">
        <w:trPr>
          <w:trHeight w:val="321"/>
        </w:trPr>
        <w:tc>
          <w:tcPr>
            <w:tcW w:w="1134" w:type="dxa"/>
            <w:tcBorders>
              <w:top w:val="nil"/>
              <w:left w:val="nil"/>
              <w:bottom w:val="single" w:sz="4" w:space="0" w:color="auto"/>
            </w:tcBorders>
            <w:shd w:val="clear" w:color="auto" w:fill="auto"/>
            <w:noWrap/>
            <w:vAlign w:val="center"/>
            <w:hideMark/>
          </w:tcPr>
          <w:p w14:paraId="7A8A85F3" w14:textId="1D0155CC" w:rsidR="004673E8" w:rsidRPr="002576D9" w:rsidRDefault="00CB5952" w:rsidP="002D5070">
            <w:pPr>
              <w:widowControl w:val="0"/>
              <w:autoSpaceDE w:val="0"/>
              <w:autoSpaceDN w:val="0"/>
              <w:spacing w:after="0"/>
              <w:rPr>
                <w:rFonts w:ascii="Times New Roman" w:hAnsi="Times New Roman" w:cs="Times New Roman"/>
                <w:sz w:val="16"/>
                <w:lang w:val="en-US"/>
              </w:rPr>
            </w:pPr>
            <w:r>
              <w:rPr>
                <w:rFonts w:ascii="Times New Roman" w:hAnsi="Times New Roman" w:cs="Times New Roman"/>
                <w:sz w:val="16"/>
                <w:lang w:val="en-US"/>
              </w:rPr>
              <w:t>Solvabilitas</w:t>
            </w:r>
          </w:p>
        </w:tc>
        <w:tc>
          <w:tcPr>
            <w:tcW w:w="923" w:type="dxa"/>
            <w:tcBorders>
              <w:top w:val="nil"/>
              <w:bottom w:val="single" w:sz="4" w:space="0" w:color="auto"/>
            </w:tcBorders>
            <w:shd w:val="clear" w:color="auto" w:fill="auto"/>
            <w:noWrap/>
            <w:vAlign w:val="center"/>
            <w:hideMark/>
          </w:tcPr>
          <w:p w14:paraId="2F41B616" w14:textId="5E6EDC60" w:rsidR="004673E8" w:rsidRPr="002576D9" w:rsidRDefault="002D5070"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-0,075</w:t>
            </w:r>
          </w:p>
        </w:tc>
        <w:tc>
          <w:tcPr>
            <w:tcW w:w="632" w:type="dxa"/>
            <w:tcBorders>
              <w:top w:val="nil"/>
              <w:bottom w:val="single" w:sz="4" w:space="0" w:color="auto"/>
            </w:tcBorders>
            <w:shd w:val="clear" w:color="auto" w:fill="auto"/>
            <w:noWrap/>
            <w:vAlign w:val="center"/>
            <w:hideMark/>
          </w:tcPr>
          <w:p w14:paraId="06F338BF" w14:textId="221A4C9B" w:rsidR="004673E8" w:rsidRPr="002576D9" w:rsidRDefault="00CB5952"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-1.642</w:t>
            </w:r>
          </w:p>
        </w:tc>
        <w:tc>
          <w:tcPr>
            <w:tcW w:w="576" w:type="dxa"/>
            <w:tcBorders>
              <w:top w:val="nil"/>
              <w:bottom w:val="single" w:sz="4" w:space="0" w:color="auto"/>
            </w:tcBorders>
            <w:shd w:val="clear" w:color="auto" w:fill="auto"/>
            <w:noWrap/>
            <w:vAlign w:val="center"/>
            <w:hideMark/>
          </w:tcPr>
          <w:p w14:paraId="3BD4A731" w14:textId="08DA937F" w:rsidR="004673E8" w:rsidRPr="002576D9" w:rsidRDefault="004673E8" w:rsidP="00784D06">
            <w:pPr>
              <w:widowControl w:val="0"/>
              <w:autoSpaceDE w:val="0"/>
              <w:autoSpaceDN w:val="0"/>
              <w:spacing w:after="0"/>
              <w:jc w:val="center"/>
              <w:rPr>
                <w:rFonts w:ascii="Times New Roman" w:hAnsi="Times New Roman" w:cs="Times New Roman"/>
                <w:sz w:val="16"/>
                <w:lang w:val="en-US"/>
              </w:rPr>
            </w:pPr>
            <w:r w:rsidRPr="002576D9">
              <w:rPr>
                <w:rFonts w:ascii="Times New Roman" w:hAnsi="Times New Roman" w:cs="Times New Roman"/>
                <w:sz w:val="16"/>
                <w:lang w:val="en-US"/>
              </w:rPr>
              <w:t>0,</w:t>
            </w:r>
            <w:r w:rsidR="00CB5952">
              <w:rPr>
                <w:rFonts w:ascii="Times New Roman" w:hAnsi="Times New Roman" w:cs="Times New Roman"/>
                <w:sz w:val="16"/>
                <w:lang w:val="en-US"/>
              </w:rPr>
              <w:t>100</w:t>
            </w:r>
          </w:p>
        </w:tc>
        <w:tc>
          <w:tcPr>
            <w:tcW w:w="846" w:type="dxa"/>
            <w:tcBorders>
              <w:top w:val="nil"/>
              <w:bottom w:val="single" w:sz="4" w:space="0" w:color="auto"/>
              <w:right w:val="nil"/>
            </w:tcBorders>
            <w:shd w:val="clear" w:color="auto" w:fill="auto"/>
            <w:noWrap/>
            <w:vAlign w:val="center"/>
            <w:hideMark/>
          </w:tcPr>
          <w:p w14:paraId="681ED84B" w14:textId="67B988DF" w:rsidR="004673E8" w:rsidRPr="002576D9" w:rsidRDefault="00CB5952"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Ditolak</w:t>
            </w:r>
          </w:p>
        </w:tc>
      </w:tr>
      <w:tr w:rsidR="00CB5952" w:rsidRPr="002576D9" w14:paraId="7AD238A6" w14:textId="77777777" w:rsidTr="009037AC">
        <w:trPr>
          <w:trHeight w:val="321"/>
        </w:trPr>
        <w:tc>
          <w:tcPr>
            <w:tcW w:w="1134" w:type="dxa"/>
            <w:tcBorders>
              <w:top w:val="single" w:sz="4" w:space="0" w:color="auto"/>
              <w:left w:val="nil"/>
              <w:bottom w:val="single" w:sz="4" w:space="0" w:color="auto"/>
            </w:tcBorders>
            <w:shd w:val="clear" w:color="auto" w:fill="auto"/>
            <w:noWrap/>
            <w:vAlign w:val="center"/>
          </w:tcPr>
          <w:p w14:paraId="67C99164" w14:textId="1C333EC4" w:rsidR="00CB5952" w:rsidRPr="00CB5952" w:rsidRDefault="00CB5952" w:rsidP="002D5070">
            <w:pPr>
              <w:widowControl w:val="0"/>
              <w:autoSpaceDE w:val="0"/>
              <w:autoSpaceDN w:val="0"/>
              <w:spacing w:after="0"/>
              <w:rPr>
                <w:rFonts w:ascii="Times New Roman" w:hAnsi="Times New Roman" w:cs="Times New Roman"/>
                <w:sz w:val="16"/>
                <w:vertAlign w:val="superscript"/>
                <w:lang w:val="en-US"/>
              </w:rPr>
            </w:pPr>
            <w:r>
              <w:rPr>
                <w:rFonts w:ascii="Times New Roman" w:hAnsi="Times New Roman" w:cs="Times New Roman"/>
                <w:sz w:val="16"/>
                <w:lang w:val="en-US"/>
              </w:rPr>
              <w:t>Adjusted R</w:t>
            </w:r>
            <w:r>
              <w:rPr>
                <w:rFonts w:ascii="Times New Roman" w:hAnsi="Times New Roman" w:cs="Times New Roman"/>
                <w:sz w:val="16"/>
                <w:vertAlign w:val="superscript"/>
                <w:lang w:val="en-US"/>
              </w:rPr>
              <w:t>2</w:t>
            </w:r>
          </w:p>
        </w:tc>
        <w:tc>
          <w:tcPr>
            <w:tcW w:w="923" w:type="dxa"/>
            <w:tcBorders>
              <w:top w:val="single" w:sz="4" w:space="0" w:color="auto"/>
              <w:bottom w:val="single" w:sz="4" w:space="0" w:color="auto"/>
            </w:tcBorders>
            <w:shd w:val="clear" w:color="auto" w:fill="auto"/>
            <w:noWrap/>
            <w:vAlign w:val="center"/>
          </w:tcPr>
          <w:p w14:paraId="3ADB918E" w14:textId="77777777" w:rsidR="00CB5952" w:rsidRPr="002576D9" w:rsidRDefault="00CB5952" w:rsidP="00784D06">
            <w:pPr>
              <w:widowControl w:val="0"/>
              <w:autoSpaceDE w:val="0"/>
              <w:autoSpaceDN w:val="0"/>
              <w:spacing w:after="0"/>
              <w:jc w:val="center"/>
              <w:rPr>
                <w:rFonts w:ascii="Times New Roman" w:hAnsi="Times New Roman" w:cs="Times New Roman"/>
                <w:sz w:val="16"/>
                <w:lang w:val="en-US"/>
              </w:rPr>
            </w:pPr>
          </w:p>
        </w:tc>
        <w:tc>
          <w:tcPr>
            <w:tcW w:w="632" w:type="dxa"/>
            <w:tcBorders>
              <w:top w:val="single" w:sz="4" w:space="0" w:color="auto"/>
              <w:bottom w:val="single" w:sz="4" w:space="0" w:color="auto"/>
            </w:tcBorders>
            <w:shd w:val="clear" w:color="auto" w:fill="auto"/>
            <w:noWrap/>
            <w:vAlign w:val="center"/>
          </w:tcPr>
          <w:p w14:paraId="146BC177" w14:textId="7171D30B" w:rsidR="00CB5952" w:rsidRPr="002576D9" w:rsidRDefault="00CB5952" w:rsidP="00CB5952">
            <w:pPr>
              <w:widowControl w:val="0"/>
              <w:autoSpaceDE w:val="0"/>
              <w:autoSpaceDN w:val="0"/>
              <w:spacing w:after="0"/>
              <w:rPr>
                <w:rFonts w:ascii="Times New Roman" w:hAnsi="Times New Roman" w:cs="Times New Roman"/>
                <w:sz w:val="16"/>
                <w:lang w:val="en-US"/>
              </w:rPr>
            </w:pPr>
            <w:r>
              <w:rPr>
                <w:rFonts w:ascii="Times New Roman" w:hAnsi="Times New Roman" w:cs="Times New Roman"/>
                <w:sz w:val="16"/>
                <w:lang w:val="en-US"/>
              </w:rPr>
              <w:t xml:space="preserve"> 0,307</w:t>
            </w:r>
          </w:p>
        </w:tc>
        <w:tc>
          <w:tcPr>
            <w:tcW w:w="576" w:type="dxa"/>
            <w:tcBorders>
              <w:top w:val="single" w:sz="4" w:space="0" w:color="auto"/>
              <w:bottom w:val="single" w:sz="4" w:space="0" w:color="auto"/>
            </w:tcBorders>
            <w:shd w:val="clear" w:color="auto" w:fill="auto"/>
            <w:noWrap/>
            <w:vAlign w:val="center"/>
          </w:tcPr>
          <w:p w14:paraId="04E9B3A6" w14:textId="77777777" w:rsidR="00CB5952" w:rsidRPr="002576D9" w:rsidRDefault="00CB5952" w:rsidP="00784D06">
            <w:pPr>
              <w:widowControl w:val="0"/>
              <w:autoSpaceDE w:val="0"/>
              <w:autoSpaceDN w:val="0"/>
              <w:spacing w:after="0"/>
              <w:jc w:val="center"/>
              <w:rPr>
                <w:rFonts w:ascii="Times New Roman" w:hAnsi="Times New Roman" w:cs="Times New Roman"/>
                <w:sz w:val="16"/>
                <w:lang w:val="en-US"/>
              </w:rPr>
            </w:pPr>
          </w:p>
        </w:tc>
        <w:tc>
          <w:tcPr>
            <w:tcW w:w="846" w:type="dxa"/>
            <w:tcBorders>
              <w:top w:val="single" w:sz="4" w:space="0" w:color="auto"/>
              <w:bottom w:val="single" w:sz="4" w:space="0" w:color="auto"/>
              <w:right w:val="nil"/>
            </w:tcBorders>
            <w:shd w:val="clear" w:color="auto" w:fill="auto"/>
            <w:noWrap/>
            <w:vAlign w:val="center"/>
          </w:tcPr>
          <w:p w14:paraId="149D8A60" w14:textId="77777777" w:rsidR="00CB5952" w:rsidRDefault="00CB5952" w:rsidP="00784D06">
            <w:pPr>
              <w:widowControl w:val="0"/>
              <w:autoSpaceDE w:val="0"/>
              <w:autoSpaceDN w:val="0"/>
              <w:spacing w:after="0"/>
              <w:jc w:val="center"/>
              <w:rPr>
                <w:rFonts w:ascii="Times New Roman" w:hAnsi="Times New Roman" w:cs="Times New Roman"/>
                <w:sz w:val="16"/>
                <w:lang w:val="en-US"/>
              </w:rPr>
            </w:pPr>
          </w:p>
        </w:tc>
      </w:tr>
      <w:tr w:rsidR="00CB5952" w:rsidRPr="002576D9" w14:paraId="620D127B" w14:textId="77777777" w:rsidTr="009037AC">
        <w:trPr>
          <w:trHeight w:val="321"/>
        </w:trPr>
        <w:tc>
          <w:tcPr>
            <w:tcW w:w="1134" w:type="dxa"/>
            <w:tcBorders>
              <w:top w:val="single" w:sz="4" w:space="0" w:color="auto"/>
              <w:left w:val="nil"/>
              <w:bottom w:val="single" w:sz="4" w:space="0" w:color="auto"/>
            </w:tcBorders>
            <w:shd w:val="clear" w:color="auto" w:fill="auto"/>
            <w:noWrap/>
            <w:vAlign w:val="center"/>
          </w:tcPr>
          <w:p w14:paraId="6DD425D9" w14:textId="3F4D3E48" w:rsidR="00CB5952" w:rsidRDefault="00CB5952" w:rsidP="002D5070">
            <w:pPr>
              <w:widowControl w:val="0"/>
              <w:autoSpaceDE w:val="0"/>
              <w:autoSpaceDN w:val="0"/>
              <w:spacing w:after="0"/>
              <w:rPr>
                <w:rFonts w:ascii="Times New Roman" w:hAnsi="Times New Roman" w:cs="Times New Roman"/>
                <w:sz w:val="16"/>
                <w:lang w:val="en-US"/>
              </w:rPr>
            </w:pPr>
            <w:r>
              <w:rPr>
                <w:rFonts w:ascii="Times New Roman" w:hAnsi="Times New Roman" w:cs="Times New Roman"/>
                <w:sz w:val="16"/>
                <w:lang w:val="en-US"/>
              </w:rPr>
              <w:t>F sig.</w:t>
            </w:r>
          </w:p>
        </w:tc>
        <w:tc>
          <w:tcPr>
            <w:tcW w:w="923" w:type="dxa"/>
            <w:tcBorders>
              <w:top w:val="single" w:sz="4" w:space="0" w:color="auto"/>
              <w:bottom w:val="single" w:sz="4" w:space="0" w:color="auto"/>
            </w:tcBorders>
            <w:shd w:val="clear" w:color="auto" w:fill="auto"/>
            <w:noWrap/>
            <w:vAlign w:val="center"/>
          </w:tcPr>
          <w:p w14:paraId="7EBCE53F" w14:textId="77777777" w:rsidR="00CB5952" w:rsidRPr="002576D9" w:rsidRDefault="00CB5952" w:rsidP="00784D06">
            <w:pPr>
              <w:widowControl w:val="0"/>
              <w:autoSpaceDE w:val="0"/>
              <w:autoSpaceDN w:val="0"/>
              <w:spacing w:after="0"/>
              <w:jc w:val="center"/>
              <w:rPr>
                <w:rFonts w:ascii="Times New Roman" w:hAnsi="Times New Roman" w:cs="Times New Roman"/>
                <w:sz w:val="16"/>
                <w:lang w:val="en-US"/>
              </w:rPr>
            </w:pPr>
          </w:p>
        </w:tc>
        <w:tc>
          <w:tcPr>
            <w:tcW w:w="632" w:type="dxa"/>
            <w:tcBorders>
              <w:top w:val="single" w:sz="4" w:space="0" w:color="auto"/>
              <w:bottom w:val="single" w:sz="4" w:space="0" w:color="auto"/>
            </w:tcBorders>
            <w:shd w:val="clear" w:color="auto" w:fill="auto"/>
            <w:noWrap/>
            <w:vAlign w:val="center"/>
          </w:tcPr>
          <w:p w14:paraId="2FB3A5FD" w14:textId="129BC624" w:rsidR="00CB5952" w:rsidRPr="002576D9" w:rsidRDefault="00CB5952" w:rsidP="00784D06">
            <w:pPr>
              <w:widowControl w:val="0"/>
              <w:autoSpaceDE w:val="0"/>
              <w:autoSpaceDN w:val="0"/>
              <w:spacing w:after="0"/>
              <w:jc w:val="center"/>
              <w:rPr>
                <w:rFonts w:ascii="Times New Roman" w:hAnsi="Times New Roman" w:cs="Times New Roman"/>
                <w:sz w:val="16"/>
                <w:lang w:val="en-US"/>
              </w:rPr>
            </w:pPr>
            <w:r>
              <w:rPr>
                <w:rFonts w:ascii="Times New Roman" w:hAnsi="Times New Roman" w:cs="Times New Roman"/>
                <w:sz w:val="16"/>
                <w:lang w:val="en-US"/>
              </w:rPr>
              <w:t>0,002</w:t>
            </w:r>
          </w:p>
        </w:tc>
        <w:tc>
          <w:tcPr>
            <w:tcW w:w="576" w:type="dxa"/>
            <w:tcBorders>
              <w:top w:val="single" w:sz="4" w:space="0" w:color="auto"/>
              <w:bottom w:val="single" w:sz="4" w:space="0" w:color="auto"/>
            </w:tcBorders>
            <w:shd w:val="clear" w:color="auto" w:fill="auto"/>
            <w:noWrap/>
            <w:vAlign w:val="center"/>
          </w:tcPr>
          <w:p w14:paraId="19F39761" w14:textId="77777777" w:rsidR="00CB5952" w:rsidRPr="002576D9" w:rsidRDefault="00CB5952" w:rsidP="00784D06">
            <w:pPr>
              <w:widowControl w:val="0"/>
              <w:autoSpaceDE w:val="0"/>
              <w:autoSpaceDN w:val="0"/>
              <w:spacing w:after="0"/>
              <w:jc w:val="center"/>
              <w:rPr>
                <w:rFonts w:ascii="Times New Roman" w:hAnsi="Times New Roman" w:cs="Times New Roman"/>
                <w:sz w:val="16"/>
                <w:lang w:val="en-US"/>
              </w:rPr>
            </w:pPr>
          </w:p>
        </w:tc>
        <w:tc>
          <w:tcPr>
            <w:tcW w:w="846" w:type="dxa"/>
            <w:tcBorders>
              <w:top w:val="single" w:sz="4" w:space="0" w:color="auto"/>
              <w:bottom w:val="single" w:sz="4" w:space="0" w:color="auto"/>
              <w:right w:val="nil"/>
            </w:tcBorders>
            <w:shd w:val="clear" w:color="auto" w:fill="auto"/>
            <w:noWrap/>
            <w:vAlign w:val="center"/>
          </w:tcPr>
          <w:p w14:paraId="31032E1E" w14:textId="77777777" w:rsidR="00CB5952" w:rsidRDefault="00CB5952" w:rsidP="00784D06">
            <w:pPr>
              <w:widowControl w:val="0"/>
              <w:autoSpaceDE w:val="0"/>
              <w:autoSpaceDN w:val="0"/>
              <w:spacing w:after="0"/>
              <w:jc w:val="center"/>
              <w:rPr>
                <w:rFonts w:ascii="Times New Roman" w:hAnsi="Times New Roman" w:cs="Times New Roman"/>
                <w:sz w:val="16"/>
                <w:lang w:val="en-US"/>
              </w:rPr>
            </w:pPr>
          </w:p>
        </w:tc>
      </w:tr>
    </w:tbl>
    <w:p w14:paraId="5F74DB78" w14:textId="1FE1C227" w:rsidR="002D5070" w:rsidRPr="002D5070" w:rsidRDefault="00197FFC" w:rsidP="00197FFC">
      <w:pPr>
        <w:pStyle w:val="Default"/>
        <w:spacing w:before="240" w:after="240" w:line="276" w:lineRule="auto"/>
        <w:jc w:val="both"/>
        <w:rPr>
          <w:sz w:val="22"/>
          <w:szCs w:val="22"/>
        </w:rPr>
      </w:pPr>
      <w:r>
        <w:rPr>
          <w:sz w:val="22"/>
          <w:szCs w:val="22"/>
        </w:rPr>
        <w:t>Berdasarkan tabel 1, dapat dilihat bahwa v</w:t>
      </w:r>
      <w:r w:rsidR="002D5070" w:rsidRPr="002D5070">
        <w:rPr>
          <w:sz w:val="22"/>
          <w:szCs w:val="22"/>
        </w:rPr>
        <w:t xml:space="preserve">ariabel opini audit memiliki nilai koefisien regresi sebesar -2,270 dan nilai sig. sebesar 0,332 yang mana &gt; 0,05. Hal tersebut menunjukkan bahwa opini audit tidak berpengaruh terhadap </w:t>
      </w:r>
      <w:r w:rsidR="002D5070" w:rsidRPr="002D5070">
        <w:rPr>
          <w:i/>
          <w:iCs/>
          <w:sz w:val="22"/>
          <w:szCs w:val="22"/>
        </w:rPr>
        <w:t>audit delay</w:t>
      </w:r>
      <w:r w:rsidR="002D5070" w:rsidRPr="002D5070">
        <w:rPr>
          <w:sz w:val="22"/>
          <w:szCs w:val="22"/>
        </w:rPr>
        <w:t>. Lalu, variabel profitabilitas memiliki nilai koefisien regresi sebesar -0,582 dan nilai sig. sebesar 0,000 yang mana &lt; 0,05. Hal tersebut menunjukkan bahwa</w:t>
      </w:r>
      <w:r w:rsidR="00670313">
        <w:rPr>
          <w:sz w:val="22"/>
          <w:szCs w:val="22"/>
        </w:rPr>
        <w:t xml:space="preserve"> </w:t>
      </w:r>
      <w:r w:rsidR="002D5070" w:rsidRPr="002D5070">
        <w:rPr>
          <w:sz w:val="22"/>
          <w:szCs w:val="22"/>
        </w:rPr>
        <w:t xml:space="preserve">profitabilitas berpengaruh negatif </w:t>
      </w:r>
      <w:proofErr w:type="gramStart"/>
      <w:r w:rsidR="002D5070" w:rsidRPr="002D5070">
        <w:rPr>
          <w:sz w:val="22"/>
          <w:szCs w:val="22"/>
        </w:rPr>
        <w:t xml:space="preserve">terhadap  </w:t>
      </w:r>
      <w:r w:rsidR="002D5070" w:rsidRPr="002D5070">
        <w:rPr>
          <w:i/>
          <w:iCs/>
          <w:sz w:val="22"/>
          <w:szCs w:val="22"/>
        </w:rPr>
        <w:t>audit</w:t>
      </w:r>
      <w:proofErr w:type="gramEnd"/>
      <w:r w:rsidR="002D5070" w:rsidRPr="002D5070">
        <w:rPr>
          <w:i/>
          <w:iCs/>
          <w:sz w:val="22"/>
          <w:szCs w:val="22"/>
        </w:rPr>
        <w:t xml:space="preserve"> delay</w:t>
      </w:r>
      <w:r w:rsidR="002D5070" w:rsidRPr="002D5070">
        <w:rPr>
          <w:sz w:val="22"/>
          <w:szCs w:val="22"/>
        </w:rPr>
        <w:t xml:space="preserve">. Terakhir, variabel profitabilitas memiliki nilai koefisien regresi sebesar -0,055 dan nilai sig. sebesar 0,224 yang mana &gt; 0,05. Hal tersebut menunjukkan bahwa solvabilitas tidak berpengaruh </w:t>
      </w:r>
      <w:proofErr w:type="gramStart"/>
      <w:r w:rsidR="002D5070" w:rsidRPr="002D5070">
        <w:rPr>
          <w:sz w:val="22"/>
          <w:szCs w:val="22"/>
        </w:rPr>
        <w:t xml:space="preserve">terhadap  </w:t>
      </w:r>
      <w:r w:rsidR="002D5070" w:rsidRPr="002D5070">
        <w:rPr>
          <w:i/>
          <w:iCs/>
          <w:sz w:val="22"/>
          <w:szCs w:val="22"/>
        </w:rPr>
        <w:t>audit</w:t>
      </w:r>
      <w:proofErr w:type="gramEnd"/>
      <w:r w:rsidR="002D5070" w:rsidRPr="002D5070">
        <w:rPr>
          <w:i/>
          <w:iCs/>
          <w:sz w:val="22"/>
          <w:szCs w:val="22"/>
        </w:rPr>
        <w:t xml:space="preserve"> delay</w:t>
      </w:r>
      <w:r w:rsidR="002D5070" w:rsidRPr="002D5070">
        <w:rPr>
          <w:sz w:val="22"/>
          <w:szCs w:val="22"/>
        </w:rPr>
        <w:t>.</w:t>
      </w:r>
    </w:p>
    <w:p w14:paraId="23B5F88F" w14:textId="77777777" w:rsidR="00EE5093" w:rsidRDefault="004673E8" w:rsidP="00691C9D">
      <w:pPr>
        <w:widowControl w:val="0"/>
        <w:autoSpaceDE w:val="0"/>
        <w:autoSpaceDN w:val="0"/>
        <w:spacing w:after="0" w:line="360" w:lineRule="auto"/>
        <w:jc w:val="both"/>
        <w:rPr>
          <w:rFonts w:ascii="Times New Roman" w:eastAsia="Times New Roman" w:hAnsi="Times New Roman" w:cs="Times New Roman"/>
          <w:b/>
          <w:lang w:val="en-US"/>
        </w:rPr>
      </w:pPr>
      <w:r w:rsidRPr="004673E8">
        <w:rPr>
          <w:rFonts w:ascii="Times New Roman" w:eastAsia="Times New Roman" w:hAnsi="Times New Roman" w:cs="Times New Roman"/>
          <w:b/>
          <w:lang w:val="en-US"/>
        </w:rPr>
        <w:t xml:space="preserve">KESIMPULAN </w:t>
      </w:r>
    </w:p>
    <w:p w14:paraId="170D47BD" w14:textId="67A4A087" w:rsidR="004673E8" w:rsidRPr="002576D9" w:rsidRDefault="004673E8" w:rsidP="00197FFC">
      <w:pPr>
        <w:widowControl w:val="0"/>
        <w:autoSpaceDE w:val="0"/>
        <w:autoSpaceDN w:val="0"/>
        <w:jc w:val="both"/>
        <w:rPr>
          <w:rFonts w:ascii="Times New Roman" w:eastAsia="Times New Roman" w:hAnsi="Times New Roman" w:cs="Times New Roman"/>
        </w:rPr>
      </w:pPr>
      <w:r w:rsidRPr="004673E8">
        <w:rPr>
          <w:rFonts w:ascii="Times New Roman" w:eastAsia="Times New Roman" w:hAnsi="Times New Roman" w:cs="Times New Roman"/>
          <w:lang w:val="en-US"/>
        </w:rPr>
        <w:t xml:space="preserve">Berdasarkan </w:t>
      </w:r>
      <w:r w:rsidR="00EE5093">
        <w:rPr>
          <w:rFonts w:ascii="Times New Roman" w:eastAsia="Times New Roman" w:hAnsi="Times New Roman" w:cs="Times New Roman"/>
          <w:lang w:val="en-US"/>
        </w:rPr>
        <w:t xml:space="preserve">hasil </w:t>
      </w:r>
      <w:r w:rsidR="002D5070">
        <w:rPr>
          <w:rFonts w:ascii="Times New Roman" w:eastAsia="Times New Roman" w:hAnsi="Times New Roman" w:cs="Times New Roman"/>
          <w:lang w:val="en-US"/>
        </w:rPr>
        <w:t>dan pembahasan</w:t>
      </w:r>
      <w:r w:rsidRPr="004673E8">
        <w:rPr>
          <w:rFonts w:ascii="Times New Roman" w:eastAsia="Times New Roman" w:hAnsi="Times New Roman" w:cs="Times New Roman"/>
          <w:lang w:val="en-US"/>
        </w:rPr>
        <w:t xml:space="preserve">, </w:t>
      </w:r>
      <w:r w:rsidR="00EE5093">
        <w:rPr>
          <w:rFonts w:ascii="Times New Roman" w:eastAsia="Times New Roman" w:hAnsi="Times New Roman" w:cs="Times New Roman"/>
          <w:lang w:val="en-US"/>
        </w:rPr>
        <w:t xml:space="preserve">maka </w:t>
      </w:r>
      <w:r w:rsidR="002D5070">
        <w:rPr>
          <w:rFonts w:ascii="Times New Roman" w:eastAsia="Times New Roman" w:hAnsi="Times New Roman" w:cs="Times New Roman"/>
          <w:lang w:val="en-US"/>
        </w:rPr>
        <w:t xml:space="preserve">dapat </w:t>
      </w:r>
      <w:r w:rsidR="00EE5093">
        <w:rPr>
          <w:rFonts w:ascii="Times New Roman" w:eastAsia="Times New Roman" w:hAnsi="Times New Roman" w:cs="Times New Roman"/>
          <w:lang w:val="en-US"/>
        </w:rPr>
        <w:t>disimpulkan ba</w:t>
      </w:r>
      <w:r w:rsidR="002D5070">
        <w:rPr>
          <w:rFonts w:ascii="Times New Roman" w:eastAsia="Times New Roman" w:hAnsi="Times New Roman" w:cs="Times New Roman"/>
          <w:lang w:val="en-US"/>
        </w:rPr>
        <w:t xml:space="preserve">hwa profitabilitas berpengaruh negatif terhadap </w:t>
      </w:r>
      <w:r w:rsidR="002D5070">
        <w:rPr>
          <w:rFonts w:ascii="Times New Roman" w:eastAsia="Times New Roman" w:hAnsi="Times New Roman" w:cs="Times New Roman"/>
          <w:i/>
          <w:iCs/>
          <w:lang w:val="en-US"/>
        </w:rPr>
        <w:t>audit delay</w:t>
      </w:r>
      <w:r w:rsidR="002D5070">
        <w:rPr>
          <w:rFonts w:ascii="Times New Roman" w:eastAsia="Times New Roman" w:hAnsi="Times New Roman" w:cs="Times New Roman"/>
          <w:lang w:val="en-US"/>
        </w:rPr>
        <w:t xml:space="preserve">. Sedangkan opini audit dan solvabilitas tidak berpengaruh terhadap </w:t>
      </w:r>
      <w:r w:rsidR="002D5070">
        <w:rPr>
          <w:rFonts w:ascii="Times New Roman" w:eastAsia="Times New Roman" w:hAnsi="Times New Roman" w:cs="Times New Roman"/>
          <w:i/>
          <w:iCs/>
          <w:lang w:val="en-US"/>
        </w:rPr>
        <w:t>audit delay</w:t>
      </w:r>
      <w:r w:rsidR="002D5070">
        <w:rPr>
          <w:rFonts w:ascii="Times New Roman" w:eastAsia="Times New Roman" w:hAnsi="Times New Roman" w:cs="Times New Roman"/>
          <w:lang w:val="en-US"/>
        </w:rPr>
        <w:t xml:space="preserve">. </w:t>
      </w:r>
      <w:r w:rsidR="00EE5093">
        <w:rPr>
          <w:rFonts w:ascii="Times New Roman" w:eastAsia="Times New Roman" w:hAnsi="Times New Roman" w:cs="Times New Roman"/>
          <w:lang w:val="en-US"/>
        </w:rPr>
        <w:t xml:space="preserve">   </w:t>
      </w:r>
    </w:p>
    <w:p w14:paraId="72781D92" w14:textId="77777777" w:rsidR="004673E8" w:rsidRPr="006C0821" w:rsidRDefault="004673E8" w:rsidP="00913500">
      <w:pPr>
        <w:widowControl w:val="0"/>
        <w:autoSpaceDE w:val="0"/>
        <w:autoSpaceDN w:val="0"/>
        <w:spacing w:after="0" w:line="360" w:lineRule="auto"/>
        <w:jc w:val="both"/>
        <w:rPr>
          <w:rFonts w:ascii="Times New Roman" w:eastAsia="Times New Roman" w:hAnsi="Times New Roman" w:cs="Times New Roman"/>
          <w:b/>
          <w:lang w:val="en-US"/>
        </w:rPr>
      </w:pPr>
      <w:r w:rsidRPr="006C0821">
        <w:rPr>
          <w:rFonts w:ascii="Times New Roman" w:eastAsia="Times New Roman" w:hAnsi="Times New Roman" w:cs="Times New Roman"/>
          <w:b/>
          <w:lang w:val="en-US"/>
        </w:rPr>
        <w:t>DAFTAR PUSTAKA</w:t>
      </w:r>
    </w:p>
    <w:sdt>
      <w:sdtPr>
        <w:rPr>
          <w:rFonts w:ascii="Times New Roman" w:hAnsi="Times New Roman" w:cs="Times New Roman"/>
          <w:color w:val="000000"/>
        </w:rPr>
        <w:tag w:val="MENDELEY_BIBLIOGRAPHY"/>
        <w:id w:val="-928883551"/>
        <w:placeholder>
          <w:docPart w:val="DefaultPlaceholder_-1854013440"/>
        </w:placeholder>
      </w:sdtPr>
      <w:sdtEndPr>
        <w:rPr>
          <w:rFonts w:asciiTheme="minorHAnsi" w:hAnsiTheme="minorHAnsi" w:cstheme="minorBidi"/>
        </w:rPr>
      </w:sdtEndPr>
      <w:sdtContent>
        <w:p w14:paraId="454C04A9" w14:textId="6145876F" w:rsidR="00FC5FDC" w:rsidRPr="00FC5FDC" w:rsidRDefault="00FC5FDC" w:rsidP="00FC5FDC">
          <w:pPr>
            <w:autoSpaceDE w:val="0"/>
            <w:autoSpaceDN w:val="0"/>
            <w:ind w:hanging="640"/>
            <w:jc w:val="both"/>
            <w:divId w:val="2116704309"/>
            <w:rPr>
              <w:rFonts w:ascii="Times New Roman" w:eastAsia="Times New Roman" w:hAnsi="Times New Roman" w:cs="Times New Roman"/>
              <w:sz w:val="24"/>
              <w:szCs w:val="24"/>
            </w:rPr>
          </w:pPr>
          <w:r>
            <w:rPr>
              <w:rFonts w:eastAsia="Times New Roman"/>
            </w:rPr>
            <w:t>[1]</w:t>
          </w:r>
          <w:r>
            <w:rPr>
              <w:rFonts w:eastAsia="Times New Roman"/>
            </w:rPr>
            <w:tab/>
          </w:r>
          <w:r w:rsidRPr="00FC5FDC">
            <w:rPr>
              <w:rFonts w:ascii="Times New Roman" w:eastAsia="Times New Roman" w:hAnsi="Times New Roman" w:cs="Times New Roman"/>
            </w:rPr>
            <w:t xml:space="preserve">E. Muhammad, D. R. Puspita, and S. Mamun, “Pengaruh Opini Audit, Reputasi KAP, Ukuran Perusahaan, Solvabilitas, Kompleksitas Operasi, </w:t>
          </w:r>
          <w:r w:rsidRPr="00FC5FDC">
            <w:rPr>
              <w:rFonts w:ascii="Times New Roman" w:eastAsia="Times New Roman" w:hAnsi="Times New Roman" w:cs="Times New Roman"/>
              <w:lang w:val="en-US"/>
            </w:rPr>
            <w:t>Profitabilitas, d</w:t>
          </w:r>
          <w:r w:rsidRPr="00FC5FDC">
            <w:rPr>
              <w:rFonts w:ascii="Times New Roman" w:eastAsia="Times New Roman" w:hAnsi="Times New Roman" w:cs="Times New Roman"/>
            </w:rPr>
            <w:t xml:space="preserve">an Pergantian Auditor Terhadap Audit Delay,” </w:t>
          </w:r>
          <w:r w:rsidRPr="00FC5FDC">
            <w:rPr>
              <w:rFonts w:ascii="Times New Roman" w:eastAsia="Times New Roman" w:hAnsi="Times New Roman" w:cs="Times New Roman"/>
              <w:i/>
              <w:iCs/>
            </w:rPr>
            <w:t>Jurnal Ekonomi Syariah Pelita Bangsa</w:t>
          </w:r>
          <w:r w:rsidRPr="00FC5FDC">
            <w:rPr>
              <w:rFonts w:ascii="Times New Roman" w:eastAsia="Times New Roman" w:hAnsi="Times New Roman" w:cs="Times New Roman"/>
            </w:rPr>
            <w:t xml:space="preserve">, </w:t>
          </w:r>
          <w:r w:rsidRPr="00FC5FDC">
            <w:rPr>
              <w:rFonts w:ascii="Times New Roman" w:eastAsia="Times New Roman" w:hAnsi="Times New Roman" w:cs="Times New Roman"/>
              <w:lang w:val="en-US"/>
            </w:rPr>
            <w:t>V</w:t>
          </w:r>
          <w:r w:rsidRPr="00FC5FDC">
            <w:rPr>
              <w:rFonts w:ascii="Times New Roman" w:eastAsia="Times New Roman" w:hAnsi="Times New Roman" w:cs="Times New Roman"/>
            </w:rPr>
            <w:t xml:space="preserve">ol. 8, </w:t>
          </w:r>
          <w:r w:rsidRPr="00FC5FDC">
            <w:rPr>
              <w:rFonts w:ascii="Times New Roman" w:eastAsia="Times New Roman" w:hAnsi="Times New Roman" w:cs="Times New Roman"/>
              <w:lang w:val="en-US"/>
            </w:rPr>
            <w:t>N</w:t>
          </w:r>
          <w:r w:rsidRPr="00FC5FDC">
            <w:rPr>
              <w:rFonts w:ascii="Times New Roman" w:eastAsia="Times New Roman" w:hAnsi="Times New Roman" w:cs="Times New Roman"/>
            </w:rPr>
            <w:t xml:space="preserve">o. 01, </w:t>
          </w:r>
          <w:r w:rsidRPr="00FC5FDC">
            <w:rPr>
              <w:rFonts w:ascii="Times New Roman" w:eastAsia="Times New Roman" w:hAnsi="Times New Roman" w:cs="Times New Roman"/>
              <w:lang w:val="en-US"/>
            </w:rPr>
            <w:t>PP</w:t>
          </w:r>
          <w:r w:rsidRPr="00FC5FDC">
            <w:rPr>
              <w:rFonts w:ascii="Times New Roman" w:eastAsia="Times New Roman" w:hAnsi="Times New Roman" w:cs="Times New Roman"/>
            </w:rPr>
            <w:t>. 25–36, 2023.</w:t>
          </w:r>
        </w:p>
        <w:p w14:paraId="105B9B9E" w14:textId="5343E153" w:rsidR="00FC5FDC" w:rsidRPr="00FC5FDC" w:rsidRDefault="00FC5FDC" w:rsidP="00FC5FDC">
          <w:pPr>
            <w:autoSpaceDE w:val="0"/>
            <w:autoSpaceDN w:val="0"/>
            <w:ind w:hanging="640"/>
            <w:jc w:val="both"/>
            <w:divId w:val="353459032"/>
            <w:rPr>
              <w:rFonts w:ascii="Times New Roman" w:eastAsia="Times New Roman" w:hAnsi="Times New Roman" w:cs="Times New Roman"/>
            </w:rPr>
          </w:pPr>
          <w:r w:rsidRPr="00FC5FDC">
            <w:rPr>
              <w:rFonts w:ascii="Times New Roman" w:eastAsia="Times New Roman" w:hAnsi="Times New Roman" w:cs="Times New Roman"/>
            </w:rPr>
            <w:t>[2]</w:t>
          </w:r>
          <w:r w:rsidRPr="00FC5FDC">
            <w:rPr>
              <w:rFonts w:ascii="Times New Roman" w:eastAsia="Times New Roman" w:hAnsi="Times New Roman" w:cs="Times New Roman"/>
            </w:rPr>
            <w:tab/>
            <w:t>IAI,</w:t>
          </w:r>
          <w:r w:rsidRPr="00FC5FDC">
            <w:rPr>
              <w:rFonts w:ascii="Times New Roman" w:eastAsia="Times New Roman" w:hAnsi="Times New Roman" w:cs="Times New Roman"/>
              <w:lang w:val="en-US"/>
            </w:rPr>
            <w:t xml:space="preserve"> </w:t>
          </w:r>
          <w:r w:rsidRPr="00FC5FDC">
            <w:rPr>
              <w:rFonts w:ascii="Times New Roman" w:eastAsia="Times New Roman" w:hAnsi="Times New Roman" w:cs="Times New Roman"/>
              <w:i/>
              <w:iCs/>
              <w:lang w:val="en-US"/>
            </w:rPr>
            <w:t xml:space="preserve">Pernyataan Standar </w:t>
          </w:r>
          <w:r w:rsidRPr="00FC5FDC">
            <w:rPr>
              <w:rFonts w:ascii="Times New Roman" w:eastAsia="Times New Roman" w:hAnsi="Times New Roman" w:cs="Times New Roman"/>
              <w:i/>
              <w:iCs/>
            </w:rPr>
            <w:t>Akuntansi Keuangan</w:t>
          </w:r>
          <w:r w:rsidRPr="00FC5FDC">
            <w:rPr>
              <w:rFonts w:ascii="Times New Roman" w:eastAsia="Times New Roman" w:hAnsi="Times New Roman" w:cs="Times New Roman"/>
              <w:i/>
              <w:iCs/>
              <w:lang w:val="en-US"/>
            </w:rPr>
            <w:t xml:space="preserve"> (PSAK)</w:t>
          </w:r>
          <w:r w:rsidRPr="00FC5FDC">
            <w:rPr>
              <w:rFonts w:ascii="Times New Roman" w:eastAsia="Times New Roman" w:hAnsi="Times New Roman" w:cs="Times New Roman"/>
            </w:rPr>
            <w:t>. Ikatan Akuntan Indonesia, 2019.</w:t>
          </w:r>
        </w:p>
        <w:p w14:paraId="256DB62C" w14:textId="73C4C5F0" w:rsidR="00FC5FDC" w:rsidRPr="00FC5FDC" w:rsidRDefault="00FC5FDC" w:rsidP="00FC5FDC">
          <w:pPr>
            <w:autoSpaceDE w:val="0"/>
            <w:autoSpaceDN w:val="0"/>
            <w:spacing w:after="0"/>
            <w:ind w:hanging="640"/>
            <w:jc w:val="both"/>
            <w:divId w:val="1514615360"/>
            <w:rPr>
              <w:rFonts w:ascii="Times New Roman" w:eastAsia="Times New Roman" w:hAnsi="Times New Roman" w:cs="Times New Roman"/>
            </w:rPr>
          </w:pPr>
          <w:r w:rsidRPr="00FC5FDC">
            <w:rPr>
              <w:rFonts w:ascii="Times New Roman" w:eastAsia="Times New Roman" w:hAnsi="Times New Roman" w:cs="Times New Roman"/>
            </w:rPr>
            <w:t>[3]</w:t>
          </w:r>
          <w:r w:rsidRPr="00FC5FDC">
            <w:rPr>
              <w:rFonts w:ascii="Times New Roman" w:eastAsia="Times New Roman" w:hAnsi="Times New Roman" w:cs="Times New Roman"/>
            </w:rPr>
            <w:tab/>
            <w:t xml:space="preserve">D. D. Yanti, R. E. Zagoto, and W. A. Ginting, “Audit Delay serta Faktor Internal Perusahaan: Studi Kasus Perusahaan Trade, Service, and Investment,” </w:t>
          </w:r>
          <w:r w:rsidRPr="00FC5FDC">
            <w:rPr>
              <w:rFonts w:ascii="Times New Roman" w:eastAsia="Times New Roman" w:hAnsi="Times New Roman" w:cs="Times New Roman"/>
              <w:i/>
              <w:iCs/>
            </w:rPr>
            <w:t>Owner: Riset Dan Jurnal Akuntansi</w:t>
          </w:r>
          <w:r w:rsidRPr="00FC5FDC">
            <w:rPr>
              <w:rFonts w:ascii="Times New Roman" w:eastAsia="Times New Roman" w:hAnsi="Times New Roman" w:cs="Times New Roman"/>
            </w:rPr>
            <w:t xml:space="preserve">, </w:t>
          </w:r>
          <w:r w:rsidRPr="00FC5FDC">
            <w:rPr>
              <w:rFonts w:ascii="Times New Roman" w:eastAsia="Times New Roman" w:hAnsi="Times New Roman" w:cs="Times New Roman"/>
              <w:lang w:val="en-US"/>
            </w:rPr>
            <w:t>V</w:t>
          </w:r>
          <w:r w:rsidRPr="00FC5FDC">
            <w:rPr>
              <w:rFonts w:ascii="Times New Roman" w:eastAsia="Times New Roman" w:hAnsi="Times New Roman" w:cs="Times New Roman"/>
            </w:rPr>
            <w:t xml:space="preserve">ol. 5, </w:t>
          </w:r>
          <w:r w:rsidRPr="00FC5FDC">
            <w:rPr>
              <w:rFonts w:ascii="Times New Roman" w:eastAsia="Times New Roman" w:hAnsi="Times New Roman" w:cs="Times New Roman"/>
              <w:lang w:val="en-US"/>
            </w:rPr>
            <w:t>N</w:t>
          </w:r>
          <w:r w:rsidRPr="00FC5FDC">
            <w:rPr>
              <w:rFonts w:ascii="Times New Roman" w:eastAsia="Times New Roman" w:hAnsi="Times New Roman" w:cs="Times New Roman"/>
            </w:rPr>
            <w:t xml:space="preserve">o. 2, </w:t>
          </w:r>
          <w:r w:rsidRPr="00FC5FDC">
            <w:rPr>
              <w:rFonts w:ascii="Times New Roman" w:eastAsia="Times New Roman" w:hAnsi="Times New Roman" w:cs="Times New Roman"/>
              <w:lang w:val="en-US"/>
            </w:rPr>
            <w:t>PP</w:t>
          </w:r>
          <w:r w:rsidRPr="00FC5FDC">
            <w:rPr>
              <w:rFonts w:ascii="Times New Roman" w:eastAsia="Times New Roman" w:hAnsi="Times New Roman" w:cs="Times New Roman"/>
            </w:rPr>
            <w:t>. 483–491, 2021.</w:t>
          </w:r>
        </w:p>
        <w:p w14:paraId="7CF26B2E" w14:textId="77777777" w:rsidR="00FC5FDC" w:rsidRPr="00FC5FDC" w:rsidRDefault="00FC5FDC" w:rsidP="00FC5FDC">
          <w:pPr>
            <w:autoSpaceDE w:val="0"/>
            <w:autoSpaceDN w:val="0"/>
            <w:spacing w:after="0"/>
            <w:ind w:hanging="640"/>
            <w:jc w:val="both"/>
            <w:divId w:val="1551382761"/>
            <w:rPr>
              <w:rFonts w:ascii="Times New Roman" w:eastAsia="Times New Roman" w:hAnsi="Times New Roman" w:cs="Times New Roman"/>
            </w:rPr>
          </w:pPr>
          <w:r w:rsidRPr="00FC5FDC">
            <w:rPr>
              <w:rFonts w:ascii="Times New Roman" w:eastAsia="Times New Roman" w:hAnsi="Times New Roman" w:cs="Times New Roman"/>
            </w:rPr>
            <w:t>[4]</w:t>
          </w:r>
          <w:r w:rsidRPr="00FC5FDC">
            <w:rPr>
              <w:rFonts w:ascii="Times New Roman" w:eastAsia="Times New Roman" w:hAnsi="Times New Roman" w:cs="Times New Roman"/>
            </w:rPr>
            <w:tab/>
            <w:t xml:space="preserve">Kasmir, </w:t>
          </w:r>
          <w:r w:rsidRPr="00FC5FDC">
            <w:rPr>
              <w:rFonts w:ascii="Times New Roman" w:eastAsia="Times New Roman" w:hAnsi="Times New Roman" w:cs="Times New Roman"/>
              <w:i/>
              <w:iCs/>
            </w:rPr>
            <w:t>Analisis Laporan Keuangan</w:t>
          </w:r>
          <w:r w:rsidRPr="00FC5FDC">
            <w:rPr>
              <w:rFonts w:ascii="Times New Roman" w:eastAsia="Times New Roman" w:hAnsi="Times New Roman" w:cs="Times New Roman"/>
            </w:rPr>
            <w:t>. Rajagrafindo Persada, Jakarta, 2019.</w:t>
          </w:r>
        </w:p>
        <w:p w14:paraId="023CDADE" w14:textId="7B06C290" w:rsidR="00BC5FDC" w:rsidRPr="004673E8" w:rsidRDefault="00FC5FDC" w:rsidP="006C0821">
          <w:pPr>
            <w:jc w:val="both"/>
          </w:pPr>
          <w:r>
            <w:rPr>
              <w:rFonts w:eastAsia="Times New Roman"/>
            </w:rPr>
            <w:t> </w:t>
          </w:r>
        </w:p>
      </w:sdtContent>
    </w:sdt>
    <w:sectPr w:rsidR="00BC5FDC" w:rsidRPr="004673E8" w:rsidSect="006B2A4C">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9F81" w14:textId="77777777" w:rsidR="00AF2363" w:rsidRDefault="00AF2363">
      <w:pPr>
        <w:spacing w:after="0" w:line="240" w:lineRule="auto"/>
      </w:pPr>
      <w:r>
        <w:separator/>
      </w:r>
    </w:p>
  </w:endnote>
  <w:endnote w:type="continuationSeparator" w:id="0">
    <w:p w14:paraId="2C039B7C" w14:textId="77777777" w:rsidR="00AF2363" w:rsidRDefault="00AF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46D0" w14:textId="77777777" w:rsidR="00AF2363" w:rsidRDefault="00AF2363">
      <w:pPr>
        <w:spacing w:after="0" w:line="240" w:lineRule="auto"/>
      </w:pPr>
      <w:r>
        <w:separator/>
      </w:r>
    </w:p>
  </w:footnote>
  <w:footnote w:type="continuationSeparator" w:id="0">
    <w:p w14:paraId="1ECEFFC2" w14:textId="77777777" w:rsidR="00AF2363" w:rsidRDefault="00AF2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20E2" w14:textId="77777777" w:rsidR="00681F68" w:rsidRDefault="00AF236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7048"/>
    <w:multiLevelType w:val="hybridMultilevel"/>
    <w:tmpl w:val="303C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437A3"/>
    <w:multiLevelType w:val="hybridMultilevel"/>
    <w:tmpl w:val="E43C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30C44"/>
    <w:multiLevelType w:val="hybridMultilevel"/>
    <w:tmpl w:val="76029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638F8"/>
    <w:multiLevelType w:val="hybridMultilevel"/>
    <w:tmpl w:val="884A1B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FF43E0"/>
    <w:multiLevelType w:val="hybridMultilevel"/>
    <w:tmpl w:val="F8686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4157F"/>
    <w:multiLevelType w:val="hybridMultilevel"/>
    <w:tmpl w:val="A15A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56A8B"/>
    <w:multiLevelType w:val="hybridMultilevel"/>
    <w:tmpl w:val="59EE8220"/>
    <w:lvl w:ilvl="0" w:tplc="B4F0F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2744D"/>
    <w:multiLevelType w:val="hybridMultilevel"/>
    <w:tmpl w:val="8C947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63051"/>
    <w:multiLevelType w:val="hybridMultilevel"/>
    <w:tmpl w:val="14B01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3E8"/>
    <w:rsid w:val="0001440E"/>
    <w:rsid w:val="00197FFC"/>
    <w:rsid w:val="00214E20"/>
    <w:rsid w:val="0024479D"/>
    <w:rsid w:val="00246145"/>
    <w:rsid w:val="002576D9"/>
    <w:rsid w:val="002D5070"/>
    <w:rsid w:val="00375C47"/>
    <w:rsid w:val="003E462E"/>
    <w:rsid w:val="004673E8"/>
    <w:rsid w:val="00474BED"/>
    <w:rsid w:val="004E57EC"/>
    <w:rsid w:val="004F2CD1"/>
    <w:rsid w:val="00534E7D"/>
    <w:rsid w:val="006313B3"/>
    <w:rsid w:val="00670313"/>
    <w:rsid w:val="00691C9D"/>
    <w:rsid w:val="006B028B"/>
    <w:rsid w:val="006B2A4C"/>
    <w:rsid w:val="006C0821"/>
    <w:rsid w:val="00784D06"/>
    <w:rsid w:val="00793525"/>
    <w:rsid w:val="007F7A36"/>
    <w:rsid w:val="009037AC"/>
    <w:rsid w:val="00913500"/>
    <w:rsid w:val="009251EF"/>
    <w:rsid w:val="00982A9E"/>
    <w:rsid w:val="00A222BD"/>
    <w:rsid w:val="00AF2363"/>
    <w:rsid w:val="00AF78AD"/>
    <w:rsid w:val="00B56A8D"/>
    <w:rsid w:val="00BC5FDC"/>
    <w:rsid w:val="00BF0E03"/>
    <w:rsid w:val="00CA29E8"/>
    <w:rsid w:val="00CB5952"/>
    <w:rsid w:val="00CD3C79"/>
    <w:rsid w:val="00D45D45"/>
    <w:rsid w:val="00E2345C"/>
    <w:rsid w:val="00EE5093"/>
    <w:rsid w:val="00F751A2"/>
    <w:rsid w:val="00FC5F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4F41"/>
  <w15:docId w15:val="{43FA6424-1B21-4EF7-9926-24437822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673E8"/>
    <w:pPr>
      <w:spacing w:after="120"/>
    </w:pPr>
  </w:style>
  <w:style w:type="character" w:customStyle="1" w:styleId="BodyTextChar">
    <w:name w:val="Body Text Char"/>
    <w:basedOn w:val="DefaultParagraphFont"/>
    <w:link w:val="BodyText"/>
    <w:uiPriority w:val="99"/>
    <w:semiHidden/>
    <w:rsid w:val="004673E8"/>
  </w:style>
  <w:style w:type="paragraph" w:styleId="BalloonText">
    <w:name w:val="Balloon Text"/>
    <w:basedOn w:val="Normal"/>
    <w:link w:val="BalloonTextChar"/>
    <w:uiPriority w:val="99"/>
    <w:semiHidden/>
    <w:unhideWhenUsed/>
    <w:rsid w:val="00467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3E8"/>
    <w:rPr>
      <w:rFonts w:ascii="Tahoma" w:hAnsi="Tahoma" w:cs="Tahoma"/>
      <w:sz w:val="16"/>
      <w:szCs w:val="16"/>
    </w:rPr>
  </w:style>
  <w:style w:type="character" w:styleId="Hyperlink">
    <w:name w:val="Hyperlink"/>
    <w:basedOn w:val="DefaultParagraphFont"/>
    <w:uiPriority w:val="99"/>
    <w:unhideWhenUsed/>
    <w:rsid w:val="009251EF"/>
    <w:rPr>
      <w:color w:val="0000FF" w:themeColor="hyperlink"/>
      <w:u w:val="single"/>
    </w:rPr>
  </w:style>
  <w:style w:type="character" w:styleId="UnresolvedMention">
    <w:name w:val="Unresolved Mention"/>
    <w:basedOn w:val="DefaultParagraphFont"/>
    <w:uiPriority w:val="99"/>
    <w:semiHidden/>
    <w:unhideWhenUsed/>
    <w:rsid w:val="009251EF"/>
    <w:rPr>
      <w:color w:val="605E5C"/>
      <w:shd w:val="clear" w:color="auto" w:fill="E1DFDD"/>
    </w:rPr>
  </w:style>
  <w:style w:type="paragraph" w:styleId="ListParagraph">
    <w:name w:val="List Paragraph"/>
    <w:basedOn w:val="Normal"/>
    <w:uiPriority w:val="34"/>
    <w:qFormat/>
    <w:rsid w:val="00F751A2"/>
    <w:pPr>
      <w:ind w:left="720"/>
      <w:contextualSpacing/>
    </w:pPr>
  </w:style>
  <w:style w:type="paragraph" w:customStyle="1" w:styleId="Default">
    <w:name w:val="Default"/>
    <w:rsid w:val="00F751A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PlaceholderText">
    <w:name w:val="Placeholder Text"/>
    <w:basedOn w:val="DefaultParagraphFont"/>
    <w:uiPriority w:val="99"/>
    <w:semiHidden/>
    <w:rsid w:val="00F751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1245">
      <w:bodyDiv w:val="1"/>
      <w:marLeft w:val="0"/>
      <w:marRight w:val="0"/>
      <w:marTop w:val="0"/>
      <w:marBottom w:val="0"/>
      <w:divBdr>
        <w:top w:val="none" w:sz="0" w:space="0" w:color="auto"/>
        <w:left w:val="none" w:sz="0" w:space="0" w:color="auto"/>
        <w:bottom w:val="none" w:sz="0" w:space="0" w:color="auto"/>
        <w:right w:val="none" w:sz="0" w:space="0" w:color="auto"/>
      </w:divBdr>
      <w:divsChild>
        <w:div w:id="2046902814">
          <w:marLeft w:val="640"/>
          <w:marRight w:val="0"/>
          <w:marTop w:val="0"/>
          <w:marBottom w:val="0"/>
          <w:divBdr>
            <w:top w:val="none" w:sz="0" w:space="0" w:color="auto"/>
            <w:left w:val="none" w:sz="0" w:space="0" w:color="auto"/>
            <w:bottom w:val="none" w:sz="0" w:space="0" w:color="auto"/>
            <w:right w:val="none" w:sz="0" w:space="0" w:color="auto"/>
          </w:divBdr>
        </w:div>
        <w:div w:id="258370787">
          <w:marLeft w:val="640"/>
          <w:marRight w:val="0"/>
          <w:marTop w:val="0"/>
          <w:marBottom w:val="0"/>
          <w:divBdr>
            <w:top w:val="none" w:sz="0" w:space="0" w:color="auto"/>
            <w:left w:val="none" w:sz="0" w:space="0" w:color="auto"/>
            <w:bottom w:val="none" w:sz="0" w:space="0" w:color="auto"/>
            <w:right w:val="none" w:sz="0" w:space="0" w:color="auto"/>
          </w:divBdr>
        </w:div>
        <w:div w:id="1964843543">
          <w:marLeft w:val="640"/>
          <w:marRight w:val="0"/>
          <w:marTop w:val="0"/>
          <w:marBottom w:val="0"/>
          <w:divBdr>
            <w:top w:val="none" w:sz="0" w:space="0" w:color="auto"/>
            <w:left w:val="none" w:sz="0" w:space="0" w:color="auto"/>
            <w:bottom w:val="none" w:sz="0" w:space="0" w:color="auto"/>
            <w:right w:val="none" w:sz="0" w:space="0" w:color="auto"/>
          </w:divBdr>
        </w:div>
        <w:div w:id="1811097846">
          <w:marLeft w:val="640"/>
          <w:marRight w:val="0"/>
          <w:marTop w:val="0"/>
          <w:marBottom w:val="0"/>
          <w:divBdr>
            <w:top w:val="none" w:sz="0" w:space="0" w:color="auto"/>
            <w:left w:val="none" w:sz="0" w:space="0" w:color="auto"/>
            <w:bottom w:val="none" w:sz="0" w:space="0" w:color="auto"/>
            <w:right w:val="none" w:sz="0" w:space="0" w:color="auto"/>
          </w:divBdr>
        </w:div>
      </w:divsChild>
    </w:div>
    <w:div w:id="203755802">
      <w:bodyDiv w:val="1"/>
      <w:marLeft w:val="0"/>
      <w:marRight w:val="0"/>
      <w:marTop w:val="0"/>
      <w:marBottom w:val="0"/>
      <w:divBdr>
        <w:top w:val="none" w:sz="0" w:space="0" w:color="auto"/>
        <w:left w:val="none" w:sz="0" w:space="0" w:color="auto"/>
        <w:bottom w:val="none" w:sz="0" w:space="0" w:color="auto"/>
        <w:right w:val="none" w:sz="0" w:space="0" w:color="auto"/>
      </w:divBdr>
      <w:divsChild>
        <w:div w:id="658577530">
          <w:marLeft w:val="640"/>
          <w:marRight w:val="0"/>
          <w:marTop w:val="0"/>
          <w:marBottom w:val="0"/>
          <w:divBdr>
            <w:top w:val="none" w:sz="0" w:space="0" w:color="auto"/>
            <w:left w:val="none" w:sz="0" w:space="0" w:color="auto"/>
            <w:bottom w:val="none" w:sz="0" w:space="0" w:color="auto"/>
            <w:right w:val="none" w:sz="0" w:space="0" w:color="auto"/>
          </w:divBdr>
        </w:div>
        <w:div w:id="226184371">
          <w:marLeft w:val="640"/>
          <w:marRight w:val="0"/>
          <w:marTop w:val="0"/>
          <w:marBottom w:val="0"/>
          <w:divBdr>
            <w:top w:val="none" w:sz="0" w:space="0" w:color="auto"/>
            <w:left w:val="none" w:sz="0" w:space="0" w:color="auto"/>
            <w:bottom w:val="none" w:sz="0" w:space="0" w:color="auto"/>
            <w:right w:val="none" w:sz="0" w:space="0" w:color="auto"/>
          </w:divBdr>
        </w:div>
      </w:divsChild>
    </w:div>
    <w:div w:id="313484866">
      <w:bodyDiv w:val="1"/>
      <w:marLeft w:val="0"/>
      <w:marRight w:val="0"/>
      <w:marTop w:val="0"/>
      <w:marBottom w:val="0"/>
      <w:divBdr>
        <w:top w:val="none" w:sz="0" w:space="0" w:color="auto"/>
        <w:left w:val="none" w:sz="0" w:space="0" w:color="auto"/>
        <w:bottom w:val="none" w:sz="0" w:space="0" w:color="auto"/>
        <w:right w:val="none" w:sz="0" w:space="0" w:color="auto"/>
      </w:divBdr>
      <w:divsChild>
        <w:div w:id="417100406">
          <w:marLeft w:val="640"/>
          <w:marRight w:val="0"/>
          <w:marTop w:val="0"/>
          <w:marBottom w:val="0"/>
          <w:divBdr>
            <w:top w:val="none" w:sz="0" w:space="0" w:color="auto"/>
            <w:left w:val="none" w:sz="0" w:space="0" w:color="auto"/>
            <w:bottom w:val="none" w:sz="0" w:space="0" w:color="auto"/>
            <w:right w:val="none" w:sz="0" w:space="0" w:color="auto"/>
          </w:divBdr>
        </w:div>
        <w:div w:id="861357474">
          <w:marLeft w:val="640"/>
          <w:marRight w:val="0"/>
          <w:marTop w:val="0"/>
          <w:marBottom w:val="0"/>
          <w:divBdr>
            <w:top w:val="none" w:sz="0" w:space="0" w:color="auto"/>
            <w:left w:val="none" w:sz="0" w:space="0" w:color="auto"/>
            <w:bottom w:val="none" w:sz="0" w:space="0" w:color="auto"/>
            <w:right w:val="none" w:sz="0" w:space="0" w:color="auto"/>
          </w:divBdr>
        </w:div>
        <w:div w:id="2018919993">
          <w:marLeft w:val="640"/>
          <w:marRight w:val="0"/>
          <w:marTop w:val="0"/>
          <w:marBottom w:val="0"/>
          <w:divBdr>
            <w:top w:val="none" w:sz="0" w:space="0" w:color="auto"/>
            <w:left w:val="none" w:sz="0" w:space="0" w:color="auto"/>
            <w:bottom w:val="none" w:sz="0" w:space="0" w:color="auto"/>
            <w:right w:val="none" w:sz="0" w:space="0" w:color="auto"/>
          </w:divBdr>
        </w:div>
      </w:divsChild>
    </w:div>
    <w:div w:id="666321318">
      <w:bodyDiv w:val="1"/>
      <w:marLeft w:val="0"/>
      <w:marRight w:val="0"/>
      <w:marTop w:val="0"/>
      <w:marBottom w:val="0"/>
      <w:divBdr>
        <w:top w:val="none" w:sz="0" w:space="0" w:color="auto"/>
        <w:left w:val="none" w:sz="0" w:space="0" w:color="auto"/>
        <w:bottom w:val="none" w:sz="0" w:space="0" w:color="auto"/>
        <w:right w:val="none" w:sz="0" w:space="0" w:color="auto"/>
      </w:divBdr>
      <w:divsChild>
        <w:div w:id="1875191002">
          <w:marLeft w:val="640"/>
          <w:marRight w:val="0"/>
          <w:marTop w:val="0"/>
          <w:marBottom w:val="0"/>
          <w:divBdr>
            <w:top w:val="none" w:sz="0" w:space="0" w:color="auto"/>
            <w:left w:val="none" w:sz="0" w:space="0" w:color="auto"/>
            <w:bottom w:val="none" w:sz="0" w:space="0" w:color="auto"/>
            <w:right w:val="none" w:sz="0" w:space="0" w:color="auto"/>
          </w:divBdr>
        </w:div>
        <w:div w:id="1616864100">
          <w:marLeft w:val="640"/>
          <w:marRight w:val="0"/>
          <w:marTop w:val="0"/>
          <w:marBottom w:val="0"/>
          <w:divBdr>
            <w:top w:val="none" w:sz="0" w:space="0" w:color="auto"/>
            <w:left w:val="none" w:sz="0" w:space="0" w:color="auto"/>
            <w:bottom w:val="none" w:sz="0" w:space="0" w:color="auto"/>
            <w:right w:val="none" w:sz="0" w:space="0" w:color="auto"/>
          </w:divBdr>
        </w:div>
        <w:div w:id="260795604">
          <w:marLeft w:val="640"/>
          <w:marRight w:val="0"/>
          <w:marTop w:val="0"/>
          <w:marBottom w:val="0"/>
          <w:divBdr>
            <w:top w:val="none" w:sz="0" w:space="0" w:color="auto"/>
            <w:left w:val="none" w:sz="0" w:space="0" w:color="auto"/>
            <w:bottom w:val="none" w:sz="0" w:space="0" w:color="auto"/>
            <w:right w:val="none" w:sz="0" w:space="0" w:color="auto"/>
          </w:divBdr>
        </w:div>
      </w:divsChild>
    </w:div>
    <w:div w:id="930239536">
      <w:bodyDiv w:val="1"/>
      <w:marLeft w:val="0"/>
      <w:marRight w:val="0"/>
      <w:marTop w:val="0"/>
      <w:marBottom w:val="0"/>
      <w:divBdr>
        <w:top w:val="none" w:sz="0" w:space="0" w:color="auto"/>
        <w:left w:val="none" w:sz="0" w:space="0" w:color="auto"/>
        <w:bottom w:val="none" w:sz="0" w:space="0" w:color="auto"/>
        <w:right w:val="none" w:sz="0" w:space="0" w:color="auto"/>
      </w:divBdr>
      <w:divsChild>
        <w:div w:id="21908581">
          <w:marLeft w:val="640"/>
          <w:marRight w:val="0"/>
          <w:marTop w:val="0"/>
          <w:marBottom w:val="0"/>
          <w:divBdr>
            <w:top w:val="none" w:sz="0" w:space="0" w:color="auto"/>
            <w:left w:val="none" w:sz="0" w:space="0" w:color="auto"/>
            <w:bottom w:val="none" w:sz="0" w:space="0" w:color="auto"/>
            <w:right w:val="none" w:sz="0" w:space="0" w:color="auto"/>
          </w:divBdr>
        </w:div>
        <w:div w:id="1554657538">
          <w:marLeft w:val="640"/>
          <w:marRight w:val="0"/>
          <w:marTop w:val="0"/>
          <w:marBottom w:val="0"/>
          <w:divBdr>
            <w:top w:val="none" w:sz="0" w:space="0" w:color="auto"/>
            <w:left w:val="none" w:sz="0" w:space="0" w:color="auto"/>
            <w:bottom w:val="none" w:sz="0" w:space="0" w:color="auto"/>
            <w:right w:val="none" w:sz="0" w:space="0" w:color="auto"/>
          </w:divBdr>
        </w:div>
      </w:divsChild>
    </w:div>
    <w:div w:id="1048260353">
      <w:bodyDiv w:val="1"/>
      <w:marLeft w:val="0"/>
      <w:marRight w:val="0"/>
      <w:marTop w:val="0"/>
      <w:marBottom w:val="0"/>
      <w:divBdr>
        <w:top w:val="none" w:sz="0" w:space="0" w:color="auto"/>
        <w:left w:val="none" w:sz="0" w:space="0" w:color="auto"/>
        <w:bottom w:val="none" w:sz="0" w:space="0" w:color="auto"/>
        <w:right w:val="none" w:sz="0" w:space="0" w:color="auto"/>
      </w:divBdr>
      <w:divsChild>
        <w:div w:id="1373119409">
          <w:marLeft w:val="640"/>
          <w:marRight w:val="0"/>
          <w:marTop w:val="0"/>
          <w:marBottom w:val="0"/>
          <w:divBdr>
            <w:top w:val="none" w:sz="0" w:space="0" w:color="auto"/>
            <w:left w:val="none" w:sz="0" w:space="0" w:color="auto"/>
            <w:bottom w:val="none" w:sz="0" w:space="0" w:color="auto"/>
            <w:right w:val="none" w:sz="0" w:space="0" w:color="auto"/>
          </w:divBdr>
        </w:div>
      </w:divsChild>
    </w:div>
    <w:div w:id="1273980770">
      <w:bodyDiv w:val="1"/>
      <w:marLeft w:val="0"/>
      <w:marRight w:val="0"/>
      <w:marTop w:val="0"/>
      <w:marBottom w:val="0"/>
      <w:divBdr>
        <w:top w:val="none" w:sz="0" w:space="0" w:color="auto"/>
        <w:left w:val="none" w:sz="0" w:space="0" w:color="auto"/>
        <w:bottom w:val="none" w:sz="0" w:space="0" w:color="auto"/>
        <w:right w:val="none" w:sz="0" w:space="0" w:color="auto"/>
      </w:divBdr>
      <w:divsChild>
        <w:div w:id="503477894">
          <w:marLeft w:val="640"/>
          <w:marRight w:val="0"/>
          <w:marTop w:val="0"/>
          <w:marBottom w:val="0"/>
          <w:divBdr>
            <w:top w:val="none" w:sz="0" w:space="0" w:color="auto"/>
            <w:left w:val="none" w:sz="0" w:space="0" w:color="auto"/>
            <w:bottom w:val="none" w:sz="0" w:space="0" w:color="auto"/>
            <w:right w:val="none" w:sz="0" w:space="0" w:color="auto"/>
          </w:divBdr>
        </w:div>
        <w:div w:id="769356564">
          <w:marLeft w:val="640"/>
          <w:marRight w:val="0"/>
          <w:marTop w:val="0"/>
          <w:marBottom w:val="0"/>
          <w:divBdr>
            <w:top w:val="none" w:sz="0" w:space="0" w:color="auto"/>
            <w:left w:val="none" w:sz="0" w:space="0" w:color="auto"/>
            <w:bottom w:val="none" w:sz="0" w:space="0" w:color="auto"/>
            <w:right w:val="none" w:sz="0" w:space="0" w:color="auto"/>
          </w:divBdr>
        </w:div>
        <w:div w:id="1621035674">
          <w:marLeft w:val="640"/>
          <w:marRight w:val="0"/>
          <w:marTop w:val="0"/>
          <w:marBottom w:val="0"/>
          <w:divBdr>
            <w:top w:val="none" w:sz="0" w:space="0" w:color="auto"/>
            <w:left w:val="none" w:sz="0" w:space="0" w:color="auto"/>
            <w:bottom w:val="none" w:sz="0" w:space="0" w:color="auto"/>
            <w:right w:val="none" w:sz="0" w:space="0" w:color="auto"/>
          </w:divBdr>
        </w:div>
        <w:div w:id="892735881">
          <w:marLeft w:val="640"/>
          <w:marRight w:val="0"/>
          <w:marTop w:val="0"/>
          <w:marBottom w:val="0"/>
          <w:divBdr>
            <w:top w:val="none" w:sz="0" w:space="0" w:color="auto"/>
            <w:left w:val="none" w:sz="0" w:space="0" w:color="auto"/>
            <w:bottom w:val="none" w:sz="0" w:space="0" w:color="auto"/>
            <w:right w:val="none" w:sz="0" w:space="0" w:color="auto"/>
          </w:divBdr>
        </w:div>
      </w:divsChild>
    </w:div>
    <w:div w:id="15420849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9">
          <w:marLeft w:val="640"/>
          <w:marRight w:val="0"/>
          <w:marTop w:val="0"/>
          <w:marBottom w:val="0"/>
          <w:divBdr>
            <w:top w:val="none" w:sz="0" w:space="0" w:color="auto"/>
            <w:left w:val="none" w:sz="0" w:space="0" w:color="auto"/>
            <w:bottom w:val="none" w:sz="0" w:space="0" w:color="auto"/>
            <w:right w:val="none" w:sz="0" w:space="0" w:color="auto"/>
          </w:divBdr>
        </w:div>
        <w:div w:id="353459032">
          <w:marLeft w:val="640"/>
          <w:marRight w:val="0"/>
          <w:marTop w:val="0"/>
          <w:marBottom w:val="0"/>
          <w:divBdr>
            <w:top w:val="none" w:sz="0" w:space="0" w:color="auto"/>
            <w:left w:val="none" w:sz="0" w:space="0" w:color="auto"/>
            <w:bottom w:val="none" w:sz="0" w:space="0" w:color="auto"/>
            <w:right w:val="none" w:sz="0" w:space="0" w:color="auto"/>
          </w:divBdr>
        </w:div>
        <w:div w:id="1514615360">
          <w:marLeft w:val="640"/>
          <w:marRight w:val="0"/>
          <w:marTop w:val="0"/>
          <w:marBottom w:val="0"/>
          <w:divBdr>
            <w:top w:val="none" w:sz="0" w:space="0" w:color="auto"/>
            <w:left w:val="none" w:sz="0" w:space="0" w:color="auto"/>
            <w:bottom w:val="none" w:sz="0" w:space="0" w:color="auto"/>
            <w:right w:val="none" w:sz="0" w:space="0" w:color="auto"/>
          </w:divBdr>
        </w:div>
        <w:div w:id="1551382761">
          <w:marLeft w:val="640"/>
          <w:marRight w:val="0"/>
          <w:marTop w:val="0"/>
          <w:marBottom w:val="0"/>
          <w:divBdr>
            <w:top w:val="none" w:sz="0" w:space="0" w:color="auto"/>
            <w:left w:val="none" w:sz="0" w:space="0" w:color="auto"/>
            <w:bottom w:val="none" w:sz="0" w:space="0" w:color="auto"/>
            <w:right w:val="none" w:sz="0" w:space="0" w:color="auto"/>
          </w:divBdr>
        </w:div>
      </w:divsChild>
    </w:div>
    <w:div w:id="1603344886">
      <w:bodyDiv w:val="1"/>
      <w:marLeft w:val="0"/>
      <w:marRight w:val="0"/>
      <w:marTop w:val="0"/>
      <w:marBottom w:val="0"/>
      <w:divBdr>
        <w:top w:val="none" w:sz="0" w:space="0" w:color="auto"/>
        <w:left w:val="none" w:sz="0" w:space="0" w:color="auto"/>
        <w:bottom w:val="none" w:sz="0" w:space="0" w:color="auto"/>
        <w:right w:val="none" w:sz="0" w:space="0" w:color="auto"/>
      </w:divBdr>
      <w:divsChild>
        <w:div w:id="1363482909">
          <w:marLeft w:val="640"/>
          <w:marRight w:val="0"/>
          <w:marTop w:val="0"/>
          <w:marBottom w:val="0"/>
          <w:divBdr>
            <w:top w:val="none" w:sz="0" w:space="0" w:color="auto"/>
            <w:left w:val="none" w:sz="0" w:space="0" w:color="auto"/>
            <w:bottom w:val="none" w:sz="0" w:space="0" w:color="auto"/>
            <w:right w:val="none" w:sz="0" w:space="0" w:color="auto"/>
          </w:divBdr>
        </w:div>
        <w:div w:id="172183165">
          <w:marLeft w:val="640"/>
          <w:marRight w:val="0"/>
          <w:marTop w:val="0"/>
          <w:marBottom w:val="0"/>
          <w:divBdr>
            <w:top w:val="none" w:sz="0" w:space="0" w:color="auto"/>
            <w:left w:val="none" w:sz="0" w:space="0" w:color="auto"/>
            <w:bottom w:val="none" w:sz="0" w:space="0" w:color="auto"/>
            <w:right w:val="none" w:sz="0" w:space="0" w:color="auto"/>
          </w:divBdr>
        </w:div>
        <w:div w:id="724375192">
          <w:marLeft w:val="640"/>
          <w:marRight w:val="0"/>
          <w:marTop w:val="0"/>
          <w:marBottom w:val="0"/>
          <w:divBdr>
            <w:top w:val="none" w:sz="0" w:space="0" w:color="auto"/>
            <w:left w:val="none" w:sz="0" w:space="0" w:color="auto"/>
            <w:bottom w:val="none" w:sz="0" w:space="0" w:color="auto"/>
            <w:right w:val="none" w:sz="0" w:space="0" w:color="auto"/>
          </w:divBdr>
        </w:div>
      </w:divsChild>
    </w:div>
    <w:div w:id="1648704634">
      <w:bodyDiv w:val="1"/>
      <w:marLeft w:val="0"/>
      <w:marRight w:val="0"/>
      <w:marTop w:val="0"/>
      <w:marBottom w:val="0"/>
      <w:divBdr>
        <w:top w:val="none" w:sz="0" w:space="0" w:color="auto"/>
        <w:left w:val="none" w:sz="0" w:space="0" w:color="auto"/>
        <w:bottom w:val="none" w:sz="0" w:space="0" w:color="auto"/>
        <w:right w:val="none" w:sz="0" w:space="0" w:color="auto"/>
      </w:divBdr>
      <w:divsChild>
        <w:div w:id="1072432064">
          <w:marLeft w:val="640"/>
          <w:marRight w:val="0"/>
          <w:marTop w:val="0"/>
          <w:marBottom w:val="0"/>
          <w:divBdr>
            <w:top w:val="none" w:sz="0" w:space="0" w:color="auto"/>
            <w:left w:val="none" w:sz="0" w:space="0" w:color="auto"/>
            <w:bottom w:val="none" w:sz="0" w:space="0" w:color="auto"/>
            <w:right w:val="none" w:sz="0" w:space="0" w:color="auto"/>
          </w:divBdr>
        </w:div>
        <w:div w:id="1811365995">
          <w:marLeft w:val="640"/>
          <w:marRight w:val="0"/>
          <w:marTop w:val="0"/>
          <w:marBottom w:val="0"/>
          <w:divBdr>
            <w:top w:val="none" w:sz="0" w:space="0" w:color="auto"/>
            <w:left w:val="none" w:sz="0" w:space="0" w:color="auto"/>
            <w:bottom w:val="none" w:sz="0" w:space="0" w:color="auto"/>
            <w:right w:val="none" w:sz="0" w:space="0" w:color="auto"/>
          </w:divBdr>
        </w:div>
        <w:div w:id="1840849831">
          <w:marLeft w:val="640"/>
          <w:marRight w:val="0"/>
          <w:marTop w:val="0"/>
          <w:marBottom w:val="0"/>
          <w:divBdr>
            <w:top w:val="none" w:sz="0" w:space="0" w:color="auto"/>
            <w:left w:val="none" w:sz="0" w:space="0" w:color="auto"/>
            <w:bottom w:val="none" w:sz="0" w:space="0" w:color="auto"/>
            <w:right w:val="none" w:sz="0" w:space="0" w:color="auto"/>
          </w:divBdr>
        </w:div>
        <w:div w:id="1580672419">
          <w:marLeft w:val="640"/>
          <w:marRight w:val="0"/>
          <w:marTop w:val="0"/>
          <w:marBottom w:val="0"/>
          <w:divBdr>
            <w:top w:val="none" w:sz="0" w:space="0" w:color="auto"/>
            <w:left w:val="none" w:sz="0" w:space="0" w:color="auto"/>
            <w:bottom w:val="none" w:sz="0" w:space="0" w:color="auto"/>
            <w:right w:val="none" w:sz="0" w:space="0" w:color="auto"/>
          </w:divBdr>
        </w:div>
      </w:divsChild>
    </w:div>
    <w:div w:id="1696804320">
      <w:bodyDiv w:val="1"/>
      <w:marLeft w:val="0"/>
      <w:marRight w:val="0"/>
      <w:marTop w:val="0"/>
      <w:marBottom w:val="0"/>
      <w:divBdr>
        <w:top w:val="none" w:sz="0" w:space="0" w:color="auto"/>
        <w:left w:val="none" w:sz="0" w:space="0" w:color="auto"/>
        <w:bottom w:val="none" w:sz="0" w:space="0" w:color="auto"/>
        <w:right w:val="none" w:sz="0" w:space="0" w:color="auto"/>
      </w:divBdr>
      <w:divsChild>
        <w:div w:id="1009792833">
          <w:marLeft w:val="640"/>
          <w:marRight w:val="0"/>
          <w:marTop w:val="0"/>
          <w:marBottom w:val="0"/>
          <w:divBdr>
            <w:top w:val="none" w:sz="0" w:space="0" w:color="auto"/>
            <w:left w:val="none" w:sz="0" w:space="0" w:color="auto"/>
            <w:bottom w:val="none" w:sz="0" w:space="0" w:color="auto"/>
            <w:right w:val="none" w:sz="0" w:space="0" w:color="auto"/>
          </w:divBdr>
        </w:div>
        <w:div w:id="1315648715">
          <w:marLeft w:val="640"/>
          <w:marRight w:val="0"/>
          <w:marTop w:val="0"/>
          <w:marBottom w:val="0"/>
          <w:divBdr>
            <w:top w:val="none" w:sz="0" w:space="0" w:color="auto"/>
            <w:left w:val="none" w:sz="0" w:space="0" w:color="auto"/>
            <w:bottom w:val="none" w:sz="0" w:space="0" w:color="auto"/>
            <w:right w:val="none" w:sz="0" w:space="0" w:color="auto"/>
          </w:divBdr>
        </w:div>
        <w:div w:id="161535872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riza.imron@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61120EE-E39E-4F2E-99E2-22F568228DCD}"/>
      </w:docPartPr>
      <w:docPartBody>
        <w:p w:rsidR="00131466" w:rsidRDefault="00BB3642">
          <w:r w:rsidRPr="0062736C">
            <w:rPr>
              <w:rStyle w:val="PlaceholderText"/>
            </w:rPr>
            <w:t>Click or tap here to enter text.</w:t>
          </w:r>
        </w:p>
      </w:docPartBody>
    </w:docPart>
    <w:docPart>
      <w:docPartPr>
        <w:name w:val="0D335A2AFFB54E83A36793240E1AA4E4"/>
        <w:category>
          <w:name w:val="General"/>
          <w:gallery w:val="placeholder"/>
        </w:category>
        <w:types>
          <w:type w:val="bbPlcHdr"/>
        </w:types>
        <w:behaviors>
          <w:behavior w:val="content"/>
        </w:behaviors>
        <w:guid w:val="{31B72163-EB9F-46DE-9B5F-09EBA4775F23}"/>
      </w:docPartPr>
      <w:docPartBody>
        <w:p w:rsidR="00131466" w:rsidRDefault="00BB3642" w:rsidP="00BB3642">
          <w:pPr>
            <w:pStyle w:val="0D335A2AFFB54E83A36793240E1AA4E4"/>
          </w:pPr>
          <w:r w:rsidRPr="006273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E77"/>
    <w:rsid w:val="00131466"/>
    <w:rsid w:val="001F1E77"/>
    <w:rsid w:val="005313A5"/>
    <w:rsid w:val="00556188"/>
    <w:rsid w:val="005A328A"/>
    <w:rsid w:val="006804D1"/>
    <w:rsid w:val="006A7277"/>
    <w:rsid w:val="007078DD"/>
    <w:rsid w:val="00797A62"/>
    <w:rsid w:val="008141CD"/>
    <w:rsid w:val="00BB3642"/>
    <w:rsid w:val="00CC1A5A"/>
    <w:rsid w:val="00D068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642"/>
    <w:rPr>
      <w:color w:val="808080"/>
    </w:rPr>
  </w:style>
  <w:style w:type="paragraph" w:customStyle="1" w:styleId="0D335A2AFFB54E83A36793240E1AA4E4">
    <w:name w:val="0D335A2AFFB54E83A36793240E1AA4E4"/>
    <w:rsid w:val="00BB364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598980-74EA-4F84-AC5A-ECBA3C5FC1C9}">
  <we:reference id="wa104382081" version="1.55.1.0" store="id-ID" storeType="OMEX"/>
  <we:alternateReferences>
    <we:reference id="WA104382081" version="1.55.1.0" store="" storeType="OMEX"/>
  </we:alternateReferences>
  <we:properties>
    <we:property name="MENDELEY_CITATIONS" value="[{&quot;citationID&quot;:&quot;MENDELEY_CITATION_0040846b-5b70-4b12-adc1-a2a67319f3b2&quot;,&quot;properties&quot;:{&quot;noteIndex&quot;:0},&quot;isEdited&quot;:false,&quot;manualOverride&quot;:{&quot;isManuallyOverridden&quot;:false,&quot;citeprocText&quot;:&quot;[1]&quot;,&quot;manualOverrideText&quot;:&quot;&quot;},&quot;citationTag&quot;:&quot;MENDELEY_CITATION_v3_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&quot;,&quot;citationItems&quot;:[{&quot;id&quot;:&quot;e2401282-31fb-3fce-9133-3004425668cd&quot;,&quot;itemData&quot;:{&quot;type&quot;:&quot;article-journal&quot;,&quot;id&quot;:&quot;e2401282-31fb-3fce-9133-3004425668cd&quot;,&quot;title&quot;:&quot;Pengaruh opini audit, reputasi KAP, ukuran perusahaan, solvabilitas, profitabilitas, kompleksitas operasi, dan pergantian auditor terhadap audit delay (study empiris pada perusahaan consumer goods yang terdaftar di bursa efek indonesia tahun 2016-2020)&quot;,&quot;author&quot;:[{&quot;family&quot;:&quot;Muhammad&quot;,&quot;given&quot;:&quot;Erfan&quot;,&quot;parse-names&quot;:false,&quot;dropping-particle&quot;:&quot;&quot;,&quot;non-dropping-particle&quot;:&quot;&quot;},{&quot;family&quot;:&quot;Puspita&quot;,&quot;given&quot;:&quot;Dewi Retno&quot;,&quot;parse-names&quot;:false,&quot;dropping-particle&quot;:&quot;&quot;,&quot;non-dropping-particle&quot;:&quot;&quot;},{&quot;family&quot;:&quot;Mamun&quot;,&quot;given&quot;:&quot;Sukron&quot;,&quot;parse-names&quot;:false,&quot;dropping-particle&quot;:&quot;&quot;,&quot;non-dropping-particle&quot;:&quot;&quot;}],&quot;container-title&quot;:&quot;Jurnal Ekonomi Syariah Pelita Bangsa&quot;,&quot;ISSN&quot;:&quot;2745-7621&quot;,&quot;issued&quot;:{&quot;date-parts&quot;:[[2023]]},&quot;page&quot;:&quot;25-36&quot;,&quot;issue&quot;:&quot;01&quot;,&quot;volume&quot;:&quot;8&quot;,&quot;container-title-short&quot;:&quot;&quot;},&quot;isTemporary&quot;:false}]},{&quot;citationID&quot;:&quot;MENDELEY_CITATION_30a02b7c-31ce-4711-8922-b434b4b9ca9f&quot;,&quot;properties&quot;:{&quot;noteIndex&quot;:0},&quot;isEdited&quot;:false,&quot;manualOverride&quot;:{&quot;isManuallyOverridden&quot;:false,&quot;citeprocText&quot;:&quot;[2]&quot;,&quot;manualOverrideText&quot;:&quot;&quot;},&quot;citationItems&quot;:[{&quot;id&quot;:&quot;98ed6096-a625-3d6d-a282-24b163c546f5&quot;,&quot;itemData&quot;:{&quot;type&quot;:&quot;book&quot;,&quot;id&quot;:&quot;98ed6096-a625-3d6d-a282-24b163c546f5&quot;,&quot;title&quot;:&quot;Modul Level Dasar (CAFB) Akuntansi Keuangan&quot;,&quot;author&quot;:[{&quot;family&quot;:&quot;IAI&quot;,&quot;given&quot;:&quot;&quot;,&quot;parse-names&quot;:false,&quot;dropping-particle&quot;:&quot;&quot;,&quot;non-dropping-particle&quot;:&quot;&quot;}],&quot;issued&quot;:{&quot;date-parts&quot;:[[2019]]},&quot;publisher&quot;:&quot;Ikatan Akuntan Indonesia&quot;,&quot;container-title-short&quot;:&quot;&quot;},&quot;isTemporary&quot;:false}],&quot;citationTag&quot;:&quot;MENDELEY_CITATION_v3_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&quot;},{&quot;citationID&quot;:&quot;MENDELEY_CITATION_c9068fb6-3a7e-4459-b88e-a07b3e2bdb93&quot;,&quot;properties&quot;:{&quot;noteIndex&quot;:0},&quot;isEdited&quot;:false,&quot;manualOverride&quot;:{&quot;isManuallyOverridden&quot;:false,&quot;citeprocText&quot;:&quot;[3]&quot;,&quot;manualOverrideText&quot;:&quot;&quot;},&quot;citationTag&quot;:&quot;MENDELEY_CITATION_v3_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&quot;,&quot;citationItems&quot;:[{&quot;id&quot;:&quot;b3a3a6af-c8bf-3510-be13-973a33c72915&quot;,&quot;itemData&quot;:{&quot;type&quot;:&quot;article-journal&quot;,&quot;id&quot;:&quot;b3a3a6af-c8bf-3510-be13-973a33c72915&quot;,&quot;title&quot;:&quot;Audit Delay serta Faktor Internal Perusahaan: Studi Kasus Perusahaan Trade, Service, and Investment&quot;,&quot;author&quot;:[{&quot;family&quot;:&quot;Yanti&quot;,&quot;given&quot;:&quot;Devi Dwi&quot;,&quot;parse-names&quot;:false,&quot;dropping-particle&quot;:&quot;&quot;,&quot;non-dropping-particle&quot;:&quot;&quot;},{&quot;family&quot;:&quot;Zagoto&quot;,&quot;given&quot;:&quot;Rollickus Elta&quot;,&quot;parse-names&quot;:false,&quot;dropping-particle&quot;:&quot;&quot;,&quot;non-dropping-particle&quot;:&quot;&quot;},{&quot;family&quot;:&quot;Ginting&quot;,&quot;given&quot;:&quot;Wenny Anggresia&quot;,&quot;parse-names&quot;:false,&quot;dropping-particle&quot;:&quot;&quot;,&quot;non-dropping-particle&quot;:&quot;&quot;}],&quot;container-title&quot;:&quot;Owner: Riset Dan Jurnal Akuntansi&quot;,&quot;ISSN&quot;:&quot;2548-9224&quot;,&quot;issued&quot;:{&quot;date-parts&quot;:[[2021]]},&quot;page&quot;:&quot;483-491&quot;,&quot;issue&quot;:&quot;2&quot;,&quot;volume&quot;:&quot;5&quot;,&quot;container-title-short&quot;:&quot;&quot;},&quot;isTemporary&quot;:false}]},{&quot;citationID&quot;:&quot;MENDELEY_CITATION_155e17e5-1ec1-4bee-bf92-f0da779c9237&quot;,&quot;properties&quot;:{&quot;noteIndex&quot;:0},&quot;isEdited&quot;:false,&quot;manualOverride&quot;:{&quot;isManuallyOverridden&quot;:false,&quot;citeprocText&quot;:&quot;[4]&quot;,&quot;manualOverrideText&quot;:&quot;&quot;},&quot;citationTag&quot;:&quot;MENDELEY_CITATION_v3_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&quot;,&quot;citationItems&quot;:[{&quot;id&quot;:&quot;d601c545-4cc5-3c91-a4c6-5baeb88901d9&quot;,&quot;itemData&quot;:{&quot;type&quot;:&quot;book&quot;,&quot;id&quot;:&quot;d601c545-4cc5-3c91-a4c6-5baeb88901d9&quot;,&quot;title&quot;:&quot;Analisis Laporan Keuangan&quot;,&quot;author&quot;:[{&quot;family&quot;:&quot;Kasmir&quot;,&quot;given&quot;:&quot;&quot;,&quot;parse-names&quot;:false,&quot;dropping-particle&quot;:&quot;&quot;,&quot;non-dropping-particle&quot;:&quot;&quot;}],&quot;issued&quot;:{&quot;date-parts&quot;:[[2019]]},&quot;publisher&quot;:&quot;Rajagrafindo Persada, Jakarta&quot;,&quot;container-title-short&quot;:&quot;&quot;},&quot;isTemporary&quot;:false}]},{&quot;citationID&quot;:&quot;MENDELEY_CITATION_2b4d0f00-a396-46e8-91f9-0519bdfcf788&quot;,&quot;properties&quot;:{&quot;noteIndex&quot;:0},&quot;isEdited&quot;:false,&quot;manualOverride&quot;:{&quot;isManuallyOverridden&quot;:false,&quot;citeprocText&quot;:&quot;[4]&quot;,&quot;manualOverrideText&quot;:&quot;&quot;},&quot;citationTag&quot;:&quot;MENDELEY_CITATION_v3_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&quot;,&quot;citationItems&quot;:[{&quot;id&quot;:&quot;d601c545-4cc5-3c91-a4c6-5baeb88901d9&quot;,&quot;itemData&quot;:{&quot;type&quot;:&quot;book&quot;,&quot;id&quot;:&quot;d601c545-4cc5-3c91-a4c6-5baeb88901d9&quot;,&quot;title&quot;:&quot;Analisis Laporan Keuangan&quot;,&quot;author&quot;:[{&quot;family&quot;:&quot;Kasmir&quot;,&quot;given&quot;:&quot;&quot;,&quot;parse-names&quot;:false,&quot;dropping-particle&quot;:&quot;&quot;,&quot;non-dropping-particle&quot;:&quot;&quot;}],&quot;issued&quot;:{&quot;date-parts&quot;:[[2019]]},&quot;publisher&quot;:&quot;Rajagrafindo Persada, Jakarta&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BFDC-49F4-4588-BDAD-B16A1F12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Imron Oktriza</cp:lastModifiedBy>
  <cp:revision>9</cp:revision>
  <cp:lastPrinted>2024-08-15T10:27:00Z</cp:lastPrinted>
  <dcterms:created xsi:type="dcterms:W3CDTF">2024-08-15T11:06:00Z</dcterms:created>
  <dcterms:modified xsi:type="dcterms:W3CDTF">2024-08-22T03:54:00Z</dcterms:modified>
</cp:coreProperties>
</file>