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8CF26" w14:textId="77777777" w:rsidR="005D7F4D" w:rsidRPr="00704E3F" w:rsidRDefault="005D7F4D" w:rsidP="005D7F4D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4E3F">
        <w:rPr>
          <w:rFonts w:ascii="Times New Roman" w:hAnsi="Times New Roman" w:cs="Times New Roman"/>
          <w:b/>
          <w:sz w:val="20"/>
          <w:szCs w:val="20"/>
        </w:rPr>
        <w:t xml:space="preserve">Manajemen Baterai Pada Pembangkit Listrik Tenaga Surya 920 Wp </w:t>
      </w:r>
    </w:p>
    <w:p w14:paraId="3DEFA3E5" w14:textId="77777777" w:rsidR="005D7F4D" w:rsidRPr="00704E3F" w:rsidRDefault="005D7F4D" w:rsidP="005D7F4D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4E3F">
        <w:rPr>
          <w:rFonts w:ascii="Times New Roman" w:hAnsi="Times New Roman" w:cs="Times New Roman"/>
          <w:b/>
          <w:sz w:val="20"/>
          <w:szCs w:val="20"/>
        </w:rPr>
        <w:t>Dengan Beban Alat Pengering Ikan Otomatis 600 Watt</w:t>
      </w:r>
    </w:p>
    <w:p w14:paraId="2D6F5FC9" w14:textId="77777777" w:rsidR="005D7F4D" w:rsidRPr="00704E3F" w:rsidRDefault="005D7F4D" w:rsidP="005D7F4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4E3F">
        <w:rPr>
          <w:rFonts w:ascii="Times New Roman" w:hAnsi="Times New Roman" w:cs="Times New Roman"/>
          <w:sz w:val="20"/>
          <w:szCs w:val="20"/>
        </w:rPr>
        <w:t>Kurnia Randi , Mirza Zoni, S.T, M.T</w:t>
      </w:r>
    </w:p>
    <w:p w14:paraId="24BA6276" w14:textId="77777777" w:rsidR="005D7F4D" w:rsidRPr="00704E3F" w:rsidRDefault="005D7F4D" w:rsidP="005D7F4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4E3F">
        <w:rPr>
          <w:rFonts w:ascii="Times New Roman" w:hAnsi="Times New Roman" w:cs="Times New Roman"/>
          <w:sz w:val="20"/>
          <w:szCs w:val="20"/>
        </w:rPr>
        <w:t>Jurusan Teknik Elektro, Fakultas Teknologi Industri Universitas Bung Hatta, Padang</w:t>
      </w:r>
    </w:p>
    <w:p w14:paraId="1D600470" w14:textId="77777777" w:rsidR="005122B1" w:rsidRPr="00704E3F" w:rsidRDefault="005D7F4D" w:rsidP="0050656C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4E3F">
        <w:rPr>
          <w:rFonts w:ascii="Times New Roman" w:hAnsi="Times New Roman" w:cs="Times New Roman"/>
          <w:sz w:val="20"/>
          <w:szCs w:val="20"/>
        </w:rPr>
        <w:t xml:space="preserve">Email : </w:t>
      </w:r>
      <w:hyperlink r:id="rId7" w:history="1">
        <w:r w:rsidRPr="00704E3F">
          <w:rPr>
            <w:rStyle w:val="Hyperlink"/>
            <w:rFonts w:ascii="Times New Roman" w:hAnsi="Times New Roman" w:cs="Times New Roman"/>
            <w:sz w:val="20"/>
            <w:szCs w:val="20"/>
          </w:rPr>
          <w:t>Randifourjen@gmail.com</w:t>
        </w:r>
      </w:hyperlink>
    </w:p>
    <w:p w14:paraId="0796FFAD" w14:textId="77777777" w:rsidR="005D7F4D" w:rsidRPr="00704E3F" w:rsidRDefault="005D7F4D" w:rsidP="005D7F4D">
      <w:pPr>
        <w:jc w:val="center"/>
        <w:rPr>
          <w:rFonts w:ascii="Times New Roman" w:hAnsi="Times New Roman" w:cs="Times New Roman"/>
          <w:sz w:val="20"/>
          <w:szCs w:val="20"/>
        </w:rPr>
      </w:pPr>
      <w:r w:rsidRPr="00704E3F">
        <w:rPr>
          <w:rFonts w:ascii="Times New Roman" w:hAnsi="Times New Roman" w:cs="Times New Roman"/>
          <w:sz w:val="20"/>
          <w:szCs w:val="20"/>
        </w:rPr>
        <w:t>ABSTRAK</w:t>
      </w:r>
    </w:p>
    <w:p w14:paraId="46DB5229" w14:textId="77777777" w:rsidR="005D7F4D" w:rsidRPr="00704E3F" w:rsidRDefault="005D7F4D" w:rsidP="00543AEA">
      <w:pPr>
        <w:spacing w:after="0"/>
        <w:ind w:right="72" w:firstLine="4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4E3F">
        <w:rPr>
          <w:rFonts w:ascii="Times New Roman" w:hAnsi="Times New Roman" w:cs="Times New Roman"/>
          <w:sz w:val="20"/>
          <w:szCs w:val="20"/>
        </w:rPr>
        <w:t>Baterai adalah komponen PLTS yang berfungsi menyimpan energi listrik yang dihasilkan oleh panel surya</w:t>
      </w:r>
      <w:r w:rsidR="005D1B9D" w:rsidRPr="00704E3F">
        <w:rPr>
          <w:rFonts w:ascii="Times New Roman" w:hAnsi="Times New Roman" w:cs="Times New Roman"/>
          <w:sz w:val="20"/>
          <w:szCs w:val="20"/>
        </w:rPr>
        <w:t>, b</w:t>
      </w:r>
      <w:r w:rsidRPr="00704E3F">
        <w:rPr>
          <w:rFonts w:ascii="Times New Roman" w:hAnsi="Times New Roman" w:cs="Times New Roman"/>
          <w:sz w:val="20"/>
          <w:szCs w:val="20"/>
        </w:rPr>
        <w:t>aterai yang dipergunakan pada PLTS mengalami proses siklus mengisi (</w:t>
      </w:r>
      <w:r w:rsidRPr="00704E3F">
        <w:rPr>
          <w:rFonts w:ascii="Times New Roman" w:hAnsi="Times New Roman" w:cs="Times New Roman"/>
          <w:i/>
          <w:iCs/>
          <w:sz w:val="20"/>
          <w:szCs w:val="20"/>
        </w:rPr>
        <w:t>charging</w:t>
      </w:r>
      <w:r w:rsidRPr="00704E3F">
        <w:rPr>
          <w:rFonts w:ascii="Times New Roman" w:hAnsi="Times New Roman" w:cs="Times New Roman"/>
          <w:sz w:val="20"/>
          <w:szCs w:val="20"/>
        </w:rPr>
        <w:t>) dan mengosongkan (</w:t>
      </w:r>
      <w:r w:rsidRPr="00704E3F">
        <w:rPr>
          <w:rFonts w:ascii="Times New Roman" w:hAnsi="Times New Roman" w:cs="Times New Roman"/>
          <w:i/>
          <w:iCs/>
          <w:sz w:val="20"/>
          <w:szCs w:val="20"/>
        </w:rPr>
        <w:t xml:space="preserve">discharging). </w:t>
      </w:r>
      <w:r w:rsidRPr="00704E3F">
        <w:rPr>
          <w:rFonts w:ascii="Times New Roman" w:hAnsi="Times New Roman" w:cs="Times New Roman"/>
          <w:sz w:val="20"/>
          <w:szCs w:val="20"/>
        </w:rPr>
        <w:t xml:space="preserve">Proses </w:t>
      </w:r>
      <w:r w:rsidRPr="00704E3F">
        <w:rPr>
          <w:rFonts w:ascii="Times New Roman" w:hAnsi="Times New Roman" w:cs="Times New Roman"/>
          <w:i/>
          <w:iCs/>
          <w:sz w:val="20"/>
          <w:szCs w:val="20"/>
        </w:rPr>
        <w:t>charging</w:t>
      </w:r>
      <w:r w:rsidRPr="00704E3F">
        <w:rPr>
          <w:rFonts w:ascii="Times New Roman" w:hAnsi="Times New Roman" w:cs="Times New Roman"/>
          <w:sz w:val="20"/>
          <w:szCs w:val="20"/>
        </w:rPr>
        <w:t xml:space="preserve"> dan </w:t>
      </w:r>
      <w:r w:rsidRPr="00704E3F">
        <w:rPr>
          <w:rFonts w:ascii="Times New Roman" w:hAnsi="Times New Roman" w:cs="Times New Roman"/>
          <w:i/>
          <w:iCs/>
          <w:sz w:val="20"/>
          <w:szCs w:val="20"/>
        </w:rPr>
        <w:t>discharging</w:t>
      </w:r>
      <w:r w:rsidRPr="00704E3F">
        <w:rPr>
          <w:rFonts w:ascii="Times New Roman" w:hAnsi="Times New Roman" w:cs="Times New Roman"/>
          <w:sz w:val="20"/>
          <w:szCs w:val="20"/>
        </w:rPr>
        <w:t xml:space="preserve"> disebut satu siklus baterai.</w:t>
      </w:r>
      <w:r w:rsidRPr="00704E3F">
        <w:rPr>
          <w:rFonts w:ascii="Times New Roman" w:eastAsia="TimesNewRomanPSMT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704E3F">
        <w:rPr>
          <w:rFonts w:ascii="Times New Roman" w:hAnsi="Times New Roman" w:cs="Times New Roman"/>
          <w:sz w:val="20"/>
          <w:szCs w:val="20"/>
        </w:rPr>
        <w:t>Kerusakan baterai merupakan permasalahan yang sering terjadi pada PLTS.</w:t>
      </w:r>
      <w:r w:rsidR="005D1B9D" w:rsidRPr="00704E3F">
        <w:rPr>
          <w:rFonts w:ascii="Times New Roman" w:hAnsi="Times New Roman" w:cs="Times New Roman"/>
          <w:sz w:val="20"/>
          <w:szCs w:val="20"/>
        </w:rPr>
        <w:t xml:space="preserve"> </w:t>
      </w:r>
      <w:r w:rsidRPr="00704E3F">
        <w:rPr>
          <w:rFonts w:ascii="Times New Roman" w:hAnsi="Times New Roman" w:cs="Times New Roman"/>
          <w:sz w:val="20"/>
          <w:szCs w:val="20"/>
        </w:rPr>
        <w:t>Manajemen Pengisian Baterai pada PLTS 920 Wp, pada PLTS ini digunakan untuk mesi</w:t>
      </w:r>
      <w:r w:rsidR="005D1B9D" w:rsidRPr="00704E3F">
        <w:rPr>
          <w:rFonts w:ascii="Times New Roman" w:hAnsi="Times New Roman" w:cs="Times New Roman"/>
          <w:sz w:val="20"/>
          <w:szCs w:val="20"/>
        </w:rPr>
        <w:t>n pengering ikan otomatis 600 W</w:t>
      </w:r>
      <w:r w:rsidRPr="00704E3F">
        <w:rPr>
          <w:rFonts w:ascii="Times New Roman" w:hAnsi="Times New Roman" w:cs="Times New Roman"/>
          <w:sz w:val="20"/>
          <w:szCs w:val="20"/>
        </w:rPr>
        <w:t xml:space="preserve">. Untuk dapat digunakan sebuah baterai tentu harus silakukan proses </w:t>
      </w:r>
      <w:r w:rsidRPr="00704E3F">
        <w:rPr>
          <w:rFonts w:ascii="Times New Roman" w:hAnsi="Times New Roman" w:cs="Times New Roman"/>
          <w:i/>
          <w:iCs/>
          <w:sz w:val="20"/>
          <w:szCs w:val="20"/>
        </w:rPr>
        <w:t>charging</w:t>
      </w:r>
      <w:r w:rsidRPr="00704E3F">
        <w:rPr>
          <w:rFonts w:ascii="Times New Roman" w:hAnsi="Times New Roman" w:cs="Times New Roman"/>
          <w:sz w:val="20"/>
          <w:szCs w:val="20"/>
        </w:rPr>
        <w:t xml:space="preserve"> atau pengisian, pada proses pengisian digunakan alat charger controller</w:t>
      </w:r>
      <w:r w:rsidR="0050656C" w:rsidRPr="00704E3F">
        <w:rPr>
          <w:rFonts w:ascii="Times New Roman" w:hAnsi="Times New Roman" w:cs="Times New Roman"/>
          <w:sz w:val="20"/>
          <w:szCs w:val="20"/>
        </w:rPr>
        <w:t xml:space="preserve"> (SCC)</w:t>
      </w:r>
      <w:r w:rsidRPr="00704E3F">
        <w:rPr>
          <w:rFonts w:ascii="Times New Roman" w:hAnsi="Times New Roman" w:cs="Times New Roman"/>
          <w:sz w:val="20"/>
          <w:szCs w:val="20"/>
        </w:rPr>
        <w:t>. Pada a</w:t>
      </w:r>
      <w:r w:rsidR="0050656C" w:rsidRPr="00704E3F">
        <w:rPr>
          <w:rFonts w:ascii="Times New Roman" w:hAnsi="Times New Roman" w:cs="Times New Roman"/>
          <w:sz w:val="20"/>
          <w:szCs w:val="20"/>
        </w:rPr>
        <w:t>lat ini dapat dilakukan</w:t>
      </w:r>
      <w:r w:rsidRPr="00704E3F">
        <w:rPr>
          <w:rFonts w:ascii="Times New Roman" w:hAnsi="Times New Roman" w:cs="Times New Roman"/>
          <w:sz w:val="20"/>
          <w:szCs w:val="20"/>
        </w:rPr>
        <w:t xml:space="preserve"> penyetin</w:t>
      </w:r>
      <w:r w:rsidR="0050656C" w:rsidRPr="00704E3F">
        <w:rPr>
          <w:rFonts w:ascii="Times New Roman" w:hAnsi="Times New Roman" w:cs="Times New Roman"/>
          <w:sz w:val="20"/>
          <w:szCs w:val="20"/>
        </w:rPr>
        <w:t>gan untuk menghindari terjadi overcharge</w:t>
      </w:r>
      <w:r w:rsidRPr="00704E3F">
        <w:rPr>
          <w:rFonts w:ascii="Times New Roman" w:hAnsi="Times New Roman" w:cs="Times New Roman"/>
          <w:sz w:val="20"/>
          <w:szCs w:val="20"/>
        </w:rPr>
        <w:t xml:space="preserve"> dan over disch</w:t>
      </w:r>
      <w:r w:rsidR="0050656C" w:rsidRPr="00704E3F">
        <w:rPr>
          <w:rFonts w:ascii="Times New Roman" w:hAnsi="Times New Roman" w:cs="Times New Roman"/>
          <w:sz w:val="20"/>
          <w:szCs w:val="20"/>
        </w:rPr>
        <w:t>arge</w:t>
      </w:r>
      <w:r w:rsidRPr="00704E3F">
        <w:rPr>
          <w:rFonts w:ascii="Times New Roman" w:hAnsi="Times New Roman" w:cs="Times New Roman"/>
          <w:sz w:val="20"/>
          <w:szCs w:val="20"/>
        </w:rPr>
        <w:t>, karakteristik pad</w:t>
      </w:r>
      <w:r w:rsidR="0050656C" w:rsidRPr="00704E3F">
        <w:rPr>
          <w:rFonts w:ascii="Times New Roman" w:hAnsi="Times New Roman" w:cs="Times New Roman"/>
          <w:sz w:val="20"/>
          <w:szCs w:val="20"/>
        </w:rPr>
        <w:t>a SCC tidak akan menyala  atau</w:t>
      </w:r>
      <w:r w:rsidRPr="00704E3F">
        <w:rPr>
          <w:rFonts w:ascii="Times New Roman" w:hAnsi="Times New Roman" w:cs="Times New Roman"/>
          <w:sz w:val="20"/>
          <w:szCs w:val="20"/>
        </w:rPr>
        <w:t xml:space="preserve"> tidak akan membaca kapasitas baterai jika tegangan baterai dibawah 10 volt, batas tegang terendah pada baterai disetting 9,1 </w:t>
      </w:r>
      <w:r w:rsidR="0050656C" w:rsidRPr="00704E3F">
        <w:rPr>
          <w:rFonts w:ascii="Times New Roman" w:hAnsi="Times New Roman" w:cs="Times New Roman"/>
          <w:sz w:val="20"/>
          <w:szCs w:val="20"/>
        </w:rPr>
        <w:t>volt</w:t>
      </w:r>
      <w:r w:rsidRPr="00704E3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6EBBF37" w14:textId="77777777" w:rsidR="005D7F4D" w:rsidRPr="00704E3F" w:rsidRDefault="005D7F4D" w:rsidP="00543AEA">
      <w:pPr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704E3F">
        <w:rPr>
          <w:rFonts w:ascii="Times New Roman" w:hAnsi="Times New Roman" w:cs="Times New Roman"/>
          <w:b/>
          <w:sz w:val="20"/>
          <w:szCs w:val="20"/>
        </w:rPr>
        <w:t>Kata Kunci</w:t>
      </w:r>
      <w:r w:rsidRPr="00704E3F">
        <w:rPr>
          <w:rFonts w:ascii="Times New Roman" w:hAnsi="Times New Roman" w:cs="Times New Roman"/>
          <w:sz w:val="20"/>
          <w:szCs w:val="20"/>
        </w:rPr>
        <w:t xml:space="preserve"> :</w:t>
      </w:r>
      <w:r w:rsidRPr="00704E3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04E3F">
        <w:rPr>
          <w:rFonts w:ascii="Times New Roman" w:hAnsi="Times New Roman" w:cs="Times New Roman"/>
          <w:sz w:val="20"/>
          <w:szCs w:val="20"/>
        </w:rPr>
        <w:t>Baterai; Charging; discharging;overcharging; overdischarging</w:t>
      </w:r>
    </w:p>
    <w:p w14:paraId="7D139664" w14:textId="77777777" w:rsidR="005122B1" w:rsidRPr="00704E3F" w:rsidRDefault="005122B1" w:rsidP="005D7F4D">
      <w:pPr>
        <w:spacing w:line="360" w:lineRule="auto"/>
        <w:ind w:right="72"/>
        <w:jc w:val="both"/>
        <w:rPr>
          <w:rFonts w:ascii="Times New Roman" w:hAnsi="Times New Roman" w:cs="Times New Roman"/>
          <w:sz w:val="20"/>
          <w:szCs w:val="20"/>
        </w:rPr>
        <w:sectPr w:rsidR="005122B1" w:rsidRPr="00704E3F" w:rsidSect="006209B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37D6C5E" w14:textId="5E8A0EA1" w:rsidR="005122B1" w:rsidRPr="00704E3F" w:rsidRDefault="005122B1" w:rsidP="00543AEA">
      <w:pPr>
        <w:spacing w:before="240" w:after="0" w:line="360" w:lineRule="auto"/>
        <w:ind w:right="7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4E3F">
        <w:rPr>
          <w:rFonts w:ascii="Times New Roman" w:hAnsi="Times New Roman" w:cs="Times New Roman"/>
          <w:b/>
          <w:sz w:val="20"/>
          <w:szCs w:val="20"/>
        </w:rPr>
        <w:t xml:space="preserve">PENDAHULUAN </w:t>
      </w:r>
    </w:p>
    <w:p w14:paraId="2DB33DAC" w14:textId="77777777" w:rsidR="005122B1" w:rsidRPr="00704E3F" w:rsidRDefault="005122B1" w:rsidP="00543AEA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704E3F">
        <w:rPr>
          <w:rFonts w:ascii="Times New Roman" w:hAnsi="Times New Roman" w:cs="Times New Roman"/>
          <w:sz w:val="20"/>
          <w:szCs w:val="20"/>
        </w:rPr>
        <w:t>Manajemen baterai agar menjaga dan mempertahankan kondisi batera</w:t>
      </w:r>
      <w:r w:rsidR="0050656C" w:rsidRPr="00704E3F">
        <w:rPr>
          <w:rFonts w:ascii="Times New Roman" w:hAnsi="Times New Roman" w:cs="Times New Roman"/>
          <w:sz w:val="20"/>
          <w:szCs w:val="20"/>
        </w:rPr>
        <w:t xml:space="preserve">i dari kemungkinan-kemungkinan kerusakan baterai, dengan </w:t>
      </w:r>
      <w:r w:rsidRPr="00704E3F">
        <w:rPr>
          <w:rFonts w:ascii="Times New Roman" w:hAnsi="Times New Roman" w:cs="Times New Roman"/>
          <w:sz w:val="20"/>
          <w:szCs w:val="20"/>
        </w:rPr>
        <w:t>menjaga baterai dari kondisi high state of charge dimana saat itu baterai menerima pengisian berlebih (</w:t>
      </w:r>
      <w:r w:rsidRPr="00704E3F">
        <w:rPr>
          <w:rFonts w:ascii="Times New Roman" w:hAnsi="Times New Roman" w:cs="Times New Roman"/>
          <w:i/>
          <w:iCs/>
          <w:sz w:val="20"/>
          <w:szCs w:val="20"/>
        </w:rPr>
        <w:t>overcharge</w:t>
      </w:r>
      <w:r w:rsidRPr="00704E3F">
        <w:rPr>
          <w:rFonts w:ascii="Times New Roman" w:hAnsi="Times New Roman" w:cs="Times New Roman"/>
          <w:sz w:val="20"/>
          <w:szCs w:val="20"/>
        </w:rPr>
        <w:t>) dan kita perlu membatasi pengisian energi saat baterai dalam keadaan penuh, kemudian manajemen baterai dapat melindungi baterai dari pengosongan berlebih (</w:t>
      </w:r>
      <w:r w:rsidRPr="00704E3F">
        <w:rPr>
          <w:rFonts w:ascii="Times New Roman" w:hAnsi="Times New Roman" w:cs="Times New Roman"/>
          <w:i/>
          <w:iCs/>
          <w:sz w:val="20"/>
          <w:szCs w:val="20"/>
        </w:rPr>
        <w:t>overdischarge</w:t>
      </w:r>
      <w:r w:rsidRPr="00704E3F">
        <w:rPr>
          <w:rFonts w:ascii="Times New Roman" w:hAnsi="Times New Roman" w:cs="Times New Roman"/>
          <w:sz w:val="20"/>
          <w:szCs w:val="20"/>
        </w:rPr>
        <w:t>) ya</w:t>
      </w:r>
      <w:r w:rsidR="0050656C" w:rsidRPr="00704E3F">
        <w:rPr>
          <w:rFonts w:ascii="Times New Roman" w:hAnsi="Times New Roman" w:cs="Times New Roman"/>
          <w:sz w:val="20"/>
          <w:szCs w:val="20"/>
        </w:rPr>
        <w:t>ng disebabkan beban yang dipakai</w:t>
      </w:r>
      <w:r w:rsidRPr="00704E3F">
        <w:rPr>
          <w:rFonts w:ascii="Times New Roman" w:hAnsi="Times New Roman" w:cs="Times New Roman"/>
          <w:sz w:val="20"/>
          <w:szCs w:val="20"/>
        </w:rPr>
        <w:t xml:space="preserve">, dengan cara memutuskan hubungan baterai dengan beban saat baterai menjangkau keadaan </w:t>
      </w:r>
      <w:r w:rsidRPr="00704E3F">
        <w:rPr>
          <w:rFonts w:ascii="Times New Roman" w:hAnsi="Times New Roman" w:cs="Times New Roman"/>
          <w:i/>
          <w:iCs/>
          <w:sz w:val="20"/>
          <w:szCs w:val="20"/>
        </w:rPr>
        <w:t>low state of charge</w:t>
      </w:r>
      <w:r w:rsidRPr="00704E3F">
        <w:rPr>
          <w:rFonts w:ascii="Times New Roman" w:hAnsi="Times New Roman" w:cs="Times New Roman"/>
          <w:sz w:val="20"/>
          <w:szCs w:val="20"/>
        </w:rPr>
        <w:t>.</w:t>
      </w:r>
    </w:p>
    <w:p w14:paraId="5051BC23" w14:textId="77777777" w:rsidR="005122B1" w:rsidRPr="00704E3F" w:rsidRDefault="005122B1" w:rsidP="00543AEA">
      <w:pPr>
        <w:spacing w:before="240" w:after="0" w:line="360" w:lineRule="auto"/>
        <w:ind w:right="7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4E3F">
        <w:rPr>
          <w:rFonts w:ascii="Times New Roman" w:hAnsi="Times New Roman" w:cs="Times New Roman"/>
          <w:b/>
          <w:sz w:val="20"/>
          <w:szCs w:val="20"/>
        </w:rPr>
        <w:t xml:space="preserve">METODE PENELITIAN </w:t>
      </w:r>
    </w:p>
    <w:p w14:paraId="6AAB5D95" w14:textId="77777777" w:rsidR="005122B1" w:rsidRPr="00704E3F" w:rsidRDefault="005122B1" w:rsidP="00543AEA">
      <w:pPr>
        <w:spacing w:after="0" w:line="360" w:lineRule="auto"/>
        <w:ind w:right="72"/>
        <w:jc w:val="both"/>
        <w:rPr>
          <w:rFonts w:ascii="Times New Roman" w:hAnsi="Times New Roman" w:cs="Times New Roman"/>
          <w:sz w:val="20"/>
          <w:szCs w:val="20"/>
        </w:rPr>
      </w:pPr>
      <w:r w:rsidRPr="00704E3F">
        <w:rPr>
          <w:rFonts w:ascii="Times New Roman" w:hAnsi="Times New Roman" w:cs="Times New Roman"/>
          <w:sz w:val="20"/>
          <w:szCs w:val="20"/>
        </w:rPr>
        <w:t>Penelitian ini dimulai dari observasi masalah dan studi literatur, perencanaan pengembangan, perancangan dan pengujian, optimalisasi, kemudian melakukan pembahasan dan analisa, pembuatan laporan, kesimpulan dan saran.</w:t>
      </w:r>
    </w:p>
    <w:p w14:paraId="4B321949" w14:textId="467288B9" w:rsidR="00CD6822" w:rsidRPr="00704E3F" w:rsidRDefault="00CD6822" w:rsidP="00543AEA">
      <w:pPr>
        <w:spacing w:before="240" w:after="0" w:line="360" w:lineRule="auto"/>
        <w:ind w:right="7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4E3F">
        <w:rPr>
          <w:rFonts w:ascii="Times New Roman" w:hAnsi="Times New Roman" w:cs="Times New Roman"/>
          <w:b/>
          <w:sz w:val="20"/>
          <w:szCs w:val="20"/>
        </w:rPr>
        <w:t>HASIL DAN PEM</w:t>
      </w:r>
      <w:r w:rsidR="00CD6A80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  <w:r w:rsidRPr="00704E3F">
        <w:rPr>
          <w:rFonts w:ascii="Times New Roman" w:hAnsi="Times New Roman" w:cs="Times New Roman"/>
          <w:b/>
          <w:sz w:val="20"/>
          <w:szCs w:val="20"/>
        </w:rPr>
        <w:t>AHASAN</w:t>
      </w:r>
    </w:p>
    <w:p w14:paraId="5C00DE88" w14:textId="77777777" w:rsidR="00CD6822" w:rsidRPr="00704E3F" w:rsidRDefault="00CD6822" w:rsidP="00543AEA">
      <w:pPr>
        <w:spacing w:after="0" w:line="360" w:lineRule="auto"/>
        <w:ind w:left="142" w:right="72"/>
        <w:jc w:val="both"/>
        <w:rPr>
          <w:rFonts w:ascii="Times New Roman" w:hAnsi="Times New Roman" w:cs="Times New Roman"/>
          <w:sz w:val="20"/>
          <w:szCs w:val="20"/>
        </w:rPr>
      </w:pPr>
      <w:r w:rsidRPr="00704E3F">
        <w:rPr>
          <w:noProof/>
          <w:sz w:val="20"/>
          <w:szCs w:val="20"/>
          <w:lang w:eastAsia="id-ID"/>
        </w:rPr>
        <w:drawing>
          <wp:inline distT="0" distB="0" distL="0" distR="0" wp14:anchorId="11BB9E29" wp14:editId="79898BC1">
            <wp:extent cx="2846705" cy="1104900"/>
            <wp:effectExtent l="0" t="0" r="1079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865FF85" w14:textId="77777777" w:rsidR="00021E4E" w:rsidRPr="00704E3F" w:rsidRDefault="00021E4E" w:rsidP="00543AE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E3F">
        <w:rPr>
          <w:rFonts w:ascii="Times New Roman" w:hAnsi="Times New Roman" w:cs="Times New Roman"/>
          <w:sz w:val="20"/>
          <w:szCs w:val="20"/>
        </w:rPr>
        <w:t>Berdasarkan Hasil pengujian pengisian baterai dengan jenis pengisian absorting charge dimana nilai tegangan konstan dan arus pengisian semakin menurun ketika kapasitas baterai hampir penuh</w:t>
      </w:r>
      <w:r w:rsidR="0050656C" w:rsidRPr="00704E3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50656C" w:rsidRPr="00704E3F">
        <w:rPr>
          <w:rFonts w:ascii="Times New Roman" w:hAnsi="Times New Roman" w:cs="Times New Roman"/>
          <w:bCs/>
          <w:sz w:val="20"/>
          <w:szCs w:val="20"/>
        </w:rPr>
        <w:t>D</w:t>
      </w:r>
      <w:r w:rsidRPr="00704E3F">
        <w:rPr>
          <w:rFonts w:ascii="Times New Roman" w:hAnsi="Times New Roman" w:cs="Times New Roman"/>
          <w:sz w:val="20"/>
          <w:szCs w:val="20"/>
          <w:lang w:val="en-US"/>
        </w:rPr>
        <w:t>apat kita lihat state of charge baterai, pada pengisian 15 menit pertama terlihat state of charge baterai 0%, saat pe</w:t>
      </w:r>
      <w:r w:rsidR="00704E3F">
        <w:rPr>
          <w:rFonts w:ascii="Times New Roman" w:hAnsi="Times New Roman" w:cs="Times New Roman"/>
          <w:sz w:val="20"/>
          <w:szCs w:val="20"/>
          <w:lang w:val="en-US"/>
        </w:rPr>
        <w:t xml:space="preserve">ngisian dari 0% sampai 100% </w:t>
      </w:r>
      <w:r w:rsidRPr="00704E3F">
        <w:rPr>
          <w:rFonts w:ascii="Times New Roman" w:hAnsi="Times New Roman" w:cs="Times New Roman"/>
          <w:sz w:val="20"/>
          <w:szCs w:val="20"/>
          <w:lang w:val="en-US"/>
        </w:rPr>
        <w:t>dibutuhkan waktu 9,5 jam terlihat ful</w:t>
      </w:r>
      <w:r w:rsidR="006209BA" w:rsidRPr="00704E3F">
        <w:rPr>
          <w:rFonts w:ascii="Times New Roman" w:hAnsi="Times New Roman" w:cs="Times New Roman"/>
          <w:sz w:val="20"/>
          <w:szCs w:val="20"/>
          <w:lang w:val="en-US"/>
        </w:rPr>
        <w:t>l baterai pada pukul 18.00 WIB</w:t>
      </w:r>
      <w:r w:rsidR="006209BA" w:rsidRPr="00704E3F">
        <w:rPr>
          <w:rFonts w:ascii="Times New Roman" w:hAnsi="Times New Roman" w:cs="Times New Roman"/>
          <w:sz w:val="20"/>
          <w:szCs w:val="20"/>
        </w:rPr>
        <w:t>.</w:t>
      </w:r>
    </w:p>
    <w:p w14:paraId="6C084B4F" w14:textId="77777777" w:rsidR="006209BA" w:rsidRPr="00704E3F" w:rsidRDefault="006209BA" w:rsidP="00543AEA">
      <w:pPr>
        <w:spacing w:line="360" w:lineRule="auto"/>
        <w:ind w:firstLine="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4E3F">
        <w:rPr>
          <w:noProof/>
          <w:sz w:val="20"/>
          <w:szCs w:val="20"/>
          <w:lang w:eastAsia="id-ID"/>
        </w:rPr>
        <w:drawing>
          <wp:inline distT="0" distB="0" distL="0" distR="0" wp14:anchorId="0E0FBEAA" wp14:editId="4A31C55D">
            <wp:extent cx="2803525" cy="1057275"/>
            <wp:effectExtent l="0" t="0" r="15875" b="952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3E062B" w14:textId="77777777" w:rsidR="00021E4E" w:rsidRPr="00704E3F" w:rsidRDefault="006209BA" w:rsidP="00543AE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E3F">
        <w:rPr>
          <w:rFonts w:ascii="Times New Roman" w:hAnsi="Times New Roman" w:cs="Times New Roman"/>
          <w:sz w:val="20"/>
          <w:szCs w:val="20"/>
        </w:rPr>
        <w:t xml:space="preserve">Berdasarkan grafik diatas dapat kita lihat bahwa besar tegangan baterai akan seimbang dengan besar arus saat pembebanan, dan arus pembebanan akan semakin turun sesuai kapasitas baterai. </w:t>
      </w:r>
      <w:r w:rsidR="00704E3F" w:rsidRPr="00704E3F">
        <w:rPr>
          <w:rFonts w:ascii="Times New Roman" w:hAnsi="Times New Roman" w:cs="Times New Roman"/>
          <w:sz w:val="20"/>
          <w:szCs w:val="20"/>
        </w:rPr>
        <w:t>Proses pengurasan dari kondisi baterai 100% menjadi 20% , pengurasan baterai dod 80% terjadi pada pukul 04.15 WIB atau setelah 8,3 jam berlangsung proses pengurasan.</w:t>
      </w:r>
    </w:p>
    <w:p w14:paraId="077F6BD4" w14:textId="77777777" w:rsidR="00704E3F" w:rsidRPr="00704E3F" w:rsidRDefault="00704E3F" w:rsidP="00543AEA">
      <w:pPr>
        <w:spacing w:before="240"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4E3F">
        <w:rPr>
          <w:rFonts w:ascii="Times New Roman" w:hAnsi="Times New Roman" w:cs="Times New Roman"/>
          <w:b/>
          <w:sz w:val="20"/>
          <w:szCs w:val="20"/>
        </w:rPr>
        <w:t xml:space="preserve">KESIMPULAN </w:t>
      </w:r>
    </w:p>
    <w:p w14:paraId="3E584D14" w14:textId="77777777" w:rsidR="00704E3F" w:rsidRPr="00704E3F" w:rsidRDefault="00704E3F" w:rsidP="00543AE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4E3F">
        <w:rPr>
          <w:rFonts w:ascii="Times New Roman" w:hAnsi="Times New Roman" w:cs="Times New Roman"/>
          <w:sz w:val="20"/>
          <w:szCs w:val="20"/>
        </w:rPr>
        <w:t>Kesimpulan dari penelitian ini :</w:t>
      </w:r>
    </w:p>
    <w:p w14:paraId="5C91C06C" w14:textId="77777777" w:rsidR="00704E3F" w:rsidRPr="00704E3F" w:rsidRDefault="00704E3F" w:rsidP="00543AE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04E3F">
        <w:rPr>
          <w:rFonts w:ascii="Times New Roman" w:hAnsi="Times New Roman" w:cs="Times New Roman"/>
          <w:color w:val="000000"/>
          <w:sz w:val="20"/>
          <w:szCs w:val="20"/>
        </w:rPr>
        <w:t xml:space="preserve">Dengan menggunkan 4 buah baterai dengan kapasitas baterai 320 Ah dan rata-rata nilai daya sebesar 411,31 Watt dan nilai DOD </w:t>
      </w:r>
      <w:r w:rsidRPr="00704E3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704E3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Depth Of Discharge)</w:t>
      </w:r>
      <w:r w:rsidRPr="00704E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sebesar 80%</w:t>
      </w:r>
      <w:r w:rsidRPr="00704E3F">
        <w:rPr>
          <w:rFonts w:ascii="Times New Roman" w:hAnsi="Times New Roman" w:cs="Times New Roman"/>
          <w:color w:val="000000"/>
          <w:sz w:val="20"/>
          <w:szCs w:val="20"/>
        </w:rPr>
        <w:t xml:space="preserve">  maka baterai dapat bertahan selama </w:t>
      </w:r>
      <w:r w:rsidRPr="00704E3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9 sampai 10 </w:t>
      </w:r>
      <w:r w:rsidRPr="00704E3F">
        <w:rPr>
          <w:rFonts w:ascii="Times New Roman" w:hAnsi="Times New Roman" w:cs="Times New Roman"/>
          <w:color w:val="000000"/>
          <w:sz w:val="20"/>
          <w:szCs w:val="20"/>
        </w:rPr>
        <w:t xml:space="preserve"> jam penggunaan</w:t>
      </w:r>
      <w:r w:rsidRPr="00704E3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. </w:t>
      </w:r>
    </w:p>
    <w:p w14:paraId="5E8FC600" w14:textId="77777777" w:rsidR="00704E3F" w:rsidRPr="00704E3F" w:rsidRDefault="00704E3F" w:rsidP="00543AEA">
      <w:pPr>
        <w:spacing w:before="240" w:after="0" w:line="36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04E3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DAFTAR PUSTAKA </w:t>
      </w:r>
    </w:p>
    <w:p w14:paraId="611F9F9D" w14:textId="1BCD382A" w:rsidR="00543AEA" w:rsidRDefault="00704E3F" w:rsidP="00543AEA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Bold" w:hAnsi="Times New Roman" w:cs="Times New Roman"/>
          <w:i/>
          <w:iCs/>
          <w:sz w:val="20"/>
          <w:szCs w:val="20"/>
          <w:lang w:eastAsia="zh-CN"/>
        </w:rPr>
      </w:pPr>
      <w:r w:rsidRPr="00543AEA">
        <w:rPr>
          <w:rFonts w:ascii="Times New Roman" w:hAnsi="Times New Roman" w:cs="Times New Roman"/>
          <w:sz w:val="20"/>
          <w:szCs w:val="20"/>
        </w:rPr>
        <w:t>M. Ahdil Falach S</w:t>
      </w:r>
      <w:r w:rsidRPr="00543AEA">
        <w:rPr>
          <w:rFonts w:ascii="Times New Roman" w:eastAsia="Bold" w:hAnsi="Times New Roman" w:cs="Times New Roman"/>
          <w:i/>
          <w:iCs/>
          <w:sz w:val="20"/>
          <w:szCs w:val="20"/>
          <w:lang w:eastAsia="zh-CN"/>
        </w:rPr>
        <w:t>, 2019.</w:t>
      </w:r>
      <w:r w:rsidRPr="00543AEA">
        <w:rPr>
          <w:rFonts w:ascii="Times New Roman" w:hAnsi="Times New Roman" w:cs="Times New Roman"/>
          <w:i/>
          <w:iCs/>
          <w:sz w:val="20"/>
          <w:szCs w:val="20"/>
        </w:rPr>
        <w:t>Hubungan Antara Pola Pengisian Dan Pengosongan Baterai Pada Kondisi Pengisian Penuh Terhadap Umur Baterai Vrla</w:t>
      </w:r>
      <w:r w:rsidRPr="00543AEA">
        <w:rPr>
          <w:rFonts w:ascii="Times New Roman" w:eastAsia="Bold" w:hAnsi="Times New Roman" w:cs="Times New Roman"/>
          <w:i/>
          <w:iCs/>
          <w:sz w:val="20"/>
          <w:szCs w:val="20"/>
          <w:lang w:eastAsia="zh-CN"/>
        </w:rPr>
        <w:t>.</w:t>
      </w:r>
    </w:p>
    <w:p w14:paraId="7BFCCBA1" w14:textId="1FBC9BFD" w:rsidR="005D7F4D" w:rsidRPr="00543AEA" w:rsidRDefault="00704E3F" w:rsidP="00543AEA">
      <w:pPr>
        <w:pStyle w:val="ListParagraph"/>
        <w:numPr>
          <w:ilvl w:val="0"/>
          <w:numId w:val="1"/>
        </w:numPr>
        <w:tabs>
          <w:tab w:val="left" w:pos="139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43AEA">
        <w:rPr>
          <w:rFonts w:ascii="Times New Roman" w:hAnsi="Times New Roman" w:cs="Times New Roman"/>
          <w:sz w:val="20"/>
          <w:szCs w:val="20"/>
        </w:rPr>
        <w:t xml:space="preserve">Asma Ainuddin, Salama Manjang, Faizal Arya Samman,2017. </w:t>
      </w:r>
      <w:r w:rsidRPr="00543AEA">
        <w:rPr>
          <w:rFonts w:ascii="Times New Roman" w:hAnsi="Times New Roman" w:cs="Times New Roman"/>
          <w:i/>
          <w:iCs/>
          <w:sz w:val="20"/>
          <w:szCs w:val="20"/>
        </w:rPr>
        <w:t xml:space="preserve">Sistem Pengendali  Pengisian   Baterai Pada Pembangkit Listrik Tenaga Surya. </w:t>
      </w:r>
      <w:r w:rsidRPr="00543AEA">
        <w:rPr>
          <w:rFonts w:ascii="Times New Roman" w:hAnsi="Times New Roman" w:cs="Times New Roman"/>
          <w:sz w:val="20"/>
          <w:szCs w:val="20"/>
        </w:rPr>
        <w:t>Makasar : Asma Ainuddi</w:t>
      </w:r>
      <w:r w:rsidR="00543AEA" w:rsidRPr="00543AEA">
        <w:rPr>
          <w:rFonts w:ascii="Times New Roman" w:hAnsi="Times New Roman" w:cs="Times New Roman"/>
          <w:sz w:val="20"/>
          <w:szCs w:val="20"/>
          <w:lang w:val="en-US"/>
        </w:rPr>
        <w:t xml:space="preserve">n. </w:t>
      </w:r>
    </w:p>
    <w:sectPr w:rsidR="005D7F4D" w:rsidRPr="00543AEA" w:rsidSect="00543AE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9DF4B" w14:textId="77777777" w:rsidR="007C0340" w:rsidRDefault="007C0340" w:rsidP="00704E3F">
      <w:pPr>
        <w:spacing w:after="0" w:line="240" w:lineRule="auto"/>
      </w:pPr>
      <w:r>
        <w:separator/>
      </w:r>
    </w:p>
  </w:endnote>
  <w:endnote w:type="continuationSeparator" w:id="0">
    <w:p w14:paraId="02294B37" w14:textId="77777777" w:rsidR="007C0340" w:rsidRDefault="007C0340" w:rsidP="0070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Yu Gothic"/>
    <w:charset w:val="00"/>
    <w:family w:val="auto"/>
    <w:pitch w:val="default"/>
  </w:font>
  <w:font w:name="Bold">
    <w:altName w:val="Arial Rounded MT Bold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EA810" w14:textId="77777777" w:rsidR="007C0340" w:rsidRDefault="007C0340" w:rsidP="00704E3F">
      <w:pPr>
        <w:spacing w:after="0" w:line="240" w:lineRule="auto"/>
      </w:pPr>
      <w:r>
        <w:separator/>
      </w:r>
    </w:p>
  </w:footnote>
  <w:footnote w:type="continuationSeparator" w:id="0">
    <w:p w14:paraId="196E8BCA" w14:textId="77777777" w:rsidR="007C0340" w:rsidRDefault="007C0340" w:rsidP="00704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36633"/>
    <w:multiLevelType w:val="hybridMultilevel"/>
    <w:tmpl w:val="48B24436"/>
    <w:lvl w:ilvl="0" w:tplc="4D1C8B56">
      <w:start w:val="1"/>
      <w:numFmt w:val="decimal"/>
      <w:lvlText w:val="[%1]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F4D"/>
    <w:rsid w:val="00021E4E"/>
    <w:rsid w:val="00390989"/>
    <w:rsid w:val="00477195"/>
    <w:rsid w:val="0050656C"/>
    <w:rsid w:val="005122B1"/>
    <w:rsid w:val="00543AEA"/>
    <w:rsid w:val="005D1B9D"/>
    <w:rsid w:val="005D7F4D"/>
    <w:rsid w:val="00605833"/>
    <w:rsid w:val="006209BA"/>
    <w:rsid w:val="00704E3F"/>
    <w:rsid w:val="007C0340"/>
    <w:rsid w:val="009765C0"/>
    <w:rsid w:val="009A5D86"/>
    <w:rsid w:val="00A70493"/>
    <w:rsid w:val="00CD6822"/>
    <w:rsid w:val="00CD6A80"/>
    <w:rsid w:val="00FD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11BD"/>
  <w15:docId w15:val="{B965B485-6BC8-487A-BAE7-60B356C1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F4D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5122B1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4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E3F"/>
  </w:style>
  <w:style w:type="paragraph" w:styleId="Footer">
    <w:name w:val="footer"/>
    <w:basedOn w:val="Normal"/>
    <w:link w:val="FooterChar"/>
    <w:uiPriority w:val="99"/>
    <w:unhideWhenUsed/>
    <w:rsid w:val="00704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3F"/>
  </w:style>
  <w:style w:type="paragraph" w:styleId="ListParagraph">
    <w:name w:val="List Paragraph"/>
    <w:basedOn w:val="Normal"/>
    <w:uiPriority w:val="34"/>
    <w:qFormat/>
    <w:rsid w:val="0054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Randifourj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excel%20Data%20pengisian%20bbatera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excel%20Data%20pengisian%20bbatera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589024720258314E-2"/>
          <c:y val="3.7449141009399757E-2"/>
          <c:w val="0.66089777479577261"/>
          <c:h val="0.8607932685978098"/>
        </c:manualLayout>
      </c:layout>
      <c:lineChart>
        <c:grouping val="standard"/>
        <c:varyColors val="0"/>
        <c:ser>
          <c:idx val="0"/>
          <c:order val="0"/>
          <c:tx>
            <c:v>Arus Pengisian</c:v>
          </c:tx>
          <c:marker>
            <c:symbol val="none"/>
          </c:marker>
          <c:cat>
            <c:strRef>
              <c:f>Sheet1!$W$8:$W$48</c:f>
              <c:strCache>
                <c:ptCount val="41"/>
                <c:pt idx="0">
                  <c:v>08.00</c:v>
                </c:pt>
                <c:pt idx="1">
                  <c:v>08.15</c:v>
                </c:pt>
                <c:pt idx="2">
                  <c:v>08.30</c:v>
                </c:pt>
                <c:pt idx="3">
                  <c:v>08.45</c:v>
                </c:pt>
                <c:pt idx="4">
                  <c:v>09.00</c:v>
                </c:pt>
                <c:pt idx="5">
                  <c:v>09.15</c:v>
                </c:pt>
                <c:pt idx="6">
                  <c:v>09.30</c:v>
                </c:pt>
                <c:pt idx="7">
                  <c:v>09.45</c:v>
                </c:pt>
                <c:pt idx="8">
                  <c:v>10.00</c:v>
                </c:pt>
                <c:pt idx="9">
                  <c:v>10.15</c:v>
                </c:pt>
                <c:pt idx="10">
                  <c:v>10.30</c:v>
                </c:pt>
                <c:pt idx="11">
                  <c:v>10.45</c:v>
                </c:pt>
                <c:pt idx="12">
                  <c:v>11.00</c:v>
                </c:pt>
                <c:pt idx="13">
                  <c:v>11.15</c:v>
                </c:pt>
                <c:pt idx="14">
                  <c:v>11.30</c:v>
                </c:pt>
                <c:pt idx="15">
                  <c:v>11.45</c:v>
                </c:pt>
                <c:pt idx="16">
                  <c:v>12.00</c:v>
                </c:pt>
                <c:pt idx="17">
                  <c:v>12,15</c:v>
                </c:pt>
                <c:pt idx="18">
                  <c:v>12.30</c:v>
                </c:pt>
                <c:pt idx="19">
                  <c:v>12.45</c:v>
                </c:pt>
                <c:pt idx="20">
                  <c:v>13.00</c:v>
                </c:pt>
                <c:pt idx="21">
                  <c:v>13.15</c:v>
                </c:pt>
                <c:pt idx="22">
                  <c:v>13.30</c:v>
                </c:pt>
                <c:pt idx="23">
                  <c:v>13.45</c:v>
                </c:pt>
                <c:pt idx="24">
                  <c:v>14.00</c:v>
                </c:pt>
                <c:pt idx="25">
                  <c:v>14.15</c:v>
                </c:pt>
                <c:pt idx="26">
                  <c:v>14.30</c:v>
                </c:pt>
                <c:pt idx="27">
                  <c:v>14.45</c:v>
                </c:pt>
                <c:pt idx="28">
                  <c:v>15.00</c:v>
                </c:pt>
                <c:pt idx="29">
                  <c:v>15.15</c:v>
                </c:pt>
                <c:pt idx="30">
                  <c:v>15.30</c:v>
                </c:pt>
                <c:pt idx="31">
                  <c:v>15.45</c:v>
                </c:pt>
                <c:pt idx="32">
                  <c:v>16.00</c:v>
                </c:pt>
                <c:pt idx="33">
                  <c:v>16.15</c:v>
                </c:pt>
                <c:pt idx="34">
                  <c:v>16.30</c:v>
                </c:pt>
                <c:pt idx="35">
                  <c:v>16.45</c:v>
                </c:pt>
                <c:pt idx="36">
                  <c:v>17.00</c:v>
                </c:pt>
                <c:pt idx="37">
                  <c:v>17.15</c:v>
                </c:pt>
                <c:pt idx="38">
                  <c:v>17.30</c:v>
                </c:pt>
                <c:pt idx="39">
                  <c:v>17.45</c:v>
                </c:pt>
                <c:pt idx="40">
                  <c:v>18.00</c:v>
                </c:pt>
              </c:strCache>
            </c:strRef>
          </c:cat>
          <c:val>
            <c:numRef>
              <c:f>Sheet1!$T$4:$T$44</c:f>
              <c:numCache>
                <c:formatCode>General</c:formatCode>
                <c:ptCount val="41"/>
                <c:pt idx="0">
                  <c:v>61.2</c:v>
                </c:pt>
                <c:pt idx="1">
                  <c:v>59.3</c:v>
                </c:pt>
                <c:pt idx="2">
                  <c:v>56.4</c:v>
                </c:pt>
                <c:pt idx="3">
                  <c:v>54.2</c:v>
                </c:pt>
                <c:pt idx="4">
                  <c:v>51.1</c:v>
                </c:pt>
                <c:pt idx="5">
                  <c:v>49.4</c:v>
                </c:pt>
                <c:pt idx="6">
                  <c:v>47</c:v>
                </c:pt>
                <c:pt idx="7">
                  <c:v>46.6</c:v>
                </c:pt>
                <c:pt idx="8">
                  <c:v>43.1</c:v>
                </c:pt>
                <c:pt idx="9">
                  <c:v>40.9</c:v>
                </c:pt>
                <c:pt idx="10">
                  <c:v>39.1</c:v>
                </c:pt>
                <c:pt idx="11">
                  <c:v>37.200000000000003</c:v>
                </c:pt>
                <c:pt idx="12">
                  <c:v>39.1</c:v>
                </c:pt>
                <c:pt idx="13">
                  <c:v>44.2</c:v>
                </c:pt>
                <c:pt idx="14">
                  <c:v>60.1</c:v>
                </c:pt>
                <c:pt idx="15">
                  <c:v>69.3</c:v>
                </c:pt>
                <c:pt idx="16">
                  <c:v>67.2</c:v>
                </c:pt>
                <c:pt idx="17">
                  <c:v>68.400000000000006</c:v>
                </c:pt>
                <c:pt idx="18">
                  <c:v>65.099999999999994</c:v>
                </c:pt>
                <c:pt idx="19">
                  <c:v>63.2</c:v>
                </c:pt>
                <c:pt idx="20">
                  <c:v>45.2</c:v>
                </c:pt>
                <c:pt idx="21">
                  <c:v>43.1</c:v>
                </c:pt>
                <c:pt idx="22">
                  <c:v>41.2</c:v>
                </c:pt>
                <c:pt idx="23">
                  <c:v>45.2</c:v>
                </c:pt>
                <c:pt idx="24">
                  <c:v>49.4</c:v>
                </c:pt>
                <c:pt idx="25">
                  <c:v>45.3</c:v>
                </c:pt>
                <c:pt idx="26">
                  <c:v>44.3</c:v>
                </c:pt>
                <c:pt idx="27">
                  <c:v>41.9</c:v>
                </c:pt>
                <c:pt idx="28">
                  <c:v>41</c:v>
                </c:pt>
                <c:pt idx="29">
                  <c:v>40.200000000000003</c:v>
                </c:pt>
                <c:pt idx="30">
                  <c:v>39.1</c:v>
                </c:pt>
                <c:pt idx="31">
                  <c:v>33.200000000000003</c:v>
                </c:pt>
                <c:pt idx="32">
                  <c:v>28.7</c:v>
                </c:pt>
                <c:pt idx="33">
                  <c:v>25.1</c:v>
                </c:pt>
                <c:pt idx="34">
                  <c:v>23.2</c:v>
                </c:pt>
                <c:pt idx="35">
                  <c:v>21.2</c:v>
                </c:pt>
                <c:pt idx="36">
                  <c:v>18.899999999999999</c:v>
                </c:pt>
                <c:pt idx="37">
                  <c:v>17.600000000000001</c:v>
                </c:pt>
                <c:pt idx="38">
                  <c:v>14.1</c:v>
                </c:pt>
                <c:pt idx="39">
                  <c:v>13.5</c:v>
                </c:pt>
                <c:pt idx="40">
                  <c:v>12.3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8C5-4269-83D0-AED9ECDD3387}"/>
            </c:ext>
          </c:extLst>
        </c:ser>
        <c:ser>
          <c:idx val="1"/>
          <c:order val="1"/>
          <c:tx>
            <c:strRef>
              <c:f>Sheet1!$E$4</c:f>
              <c:strCache>
                <c:ptCount val="1"/>
                <c:pt idx="0">
                  <c:v>Tegangan Baterai (V)</c:v>
                </c:pt>
              </c:strCache>
            </c:strRef>
          </c:tx>
          <c:marker>
            <c:symbol val="none"/>
          </c:marker>
          <c:cat>
            <c:strRef>
              <c:f>Sheet1!$W$8:$W$48</c:f>
              <c:strCache>
                <c:ptCount val="41"/>
                <c:pt idx="0">
                  <c:v>08.00</c:v>
                </c:pt>
                <c:pt idx="1">
                  <c:v>08.15</c:v>
                </c:pt>
                <c:pt idx="2">
                  <c:v>08.30</c:v>
                </c:pt>
                <c:pt idx="3">
                  <c:v>08.45</c:v>
                </c:pt>
                <c:pt idx="4">
                  <c:v>09.00</c:v>
                </c:pt>
                <c:pt idx="5">
                  <c:v>09.15</c:v>
                </c:pt>
                <c:pt idx="6">
                  <c:v>09.30</c:v>
                </c:pt>
                <c:pt idx="7">
                  <c:v>09.45</c:v>
                </c:pt>
                <c:pt idx="8">
                  <c:v>10.00</c:v>
                </c:pt>
                <c:pt idx="9">
                  <c:v>10.15</c:v>
                </c:pt>
                <c:pt idx="10">
                  <c:v>10.30</c:v>
                </c:pt>
                <c:pt idx="11">
                  <c:v>10.45</c:v>
                </c:pt>
                <c:pt idx="12">
                  <c:v>11.00</c:v>
                </c:pt>
                <c:pt idx="13">
                  <c:v>11.15</c:v>
                </c:pt>
                <c:pt idx="14">
                  <c:v>11.30</c:v>
                </c:pt>
                <c:pt idx="15">
                  <c:v>11.45</c:v>
                </c:pt>
                <c:pt idx="16">
                  <c:v>12.00</c:v>
                </c:pt>
                <c:pt idx="17">
                  <c:v>12,15</c:v>
                </c:pt>
                <c:pt idx="18">
                  <c:v>12.30</c:v>
                </c:pt>
                <c:pt idx="19">
                  <c:v>12.45</c:v>
                </c:pt>
                <c:pt idx="20">
                  <c:v>13.00</c:v>
                </c:pt>
                <c:pt idx="21">
                  <c:v>13.15</c:v>
                </c:pt>
                <c:pt idx="22">
                  <c:v>13.30</c:v>
                </c:pt>
                <c:pt idx="23">
                  <c:v>13.45</c:v>
                </c:pt>
                <c:pt idx="24">
                  <c:v>14.00</c:v>
                </c:pt>
                <c:pt idx="25">
                  <c:v>14.15</c:v>
                </c:pt>
                <c:pt idx="26">
                  <c:v>14.30</c:v>
                </c:pt>
                <c:pt idx="27">
                  <c:v>14.45</c:v>
                </c:pt>
                <c:pt idx="28">
                  <c:v>15.00</c:v>
                </c:pt>
                <c:pt idx="29">
                  <c:v>15.15</c:v>
                </c:pt>
                <c:pt idx="30">
                  <c:v>15.30</c:v>
                </c:pt>
                <c:pt idx="31">
                  <c:v>15.45</c:v>
                </c:pt>
                <c:pt idx="32">
                  <c:v>16.00</c:v>
                </c:pt>
                <c:pt idx="33">
                  <c:v>16.15</c:v>
                </c:pt>
                <c:pt idx="34">
                  <c:v>16.30</c:v>
                </c:pt>
                <c:pt idx="35">
                  <c:v>16.45</c:v>
                </c:pt>
                <c:pt idx="36">
                  <c:v>17.00</c:v>
                </c:pt>
                <c:pt idx="37">
                  <c:v>17.15</c:v>
                </c:pt>
                <c:pt idx="38">
                  <c:v>17.30</c:v>
                </c:pt>
                <c:pt idx="39">
                  <c:v>17.45</c:v>
                </c:pt>
                <c:pt idx="40">
                  <c:v>18.00</c:v>
                </c:pt>
              </c:strCache>
            </c:strRef>
          </c:cat>
          <c:val>
            <c:numRef>
              <c:f>Sheet1!$Y$8:$Y$48</c:f>
              <c:numCache>
                <c:formatCode>General</c:formatCode>
                <c:ptCount val="41"/>
                <c:pt idx="0">
                  <c:v>10.6</c:v>
                </c:pt>
                <c:pt idx="1">
                  <c:v>10.6</c:v>
                </c:pt>
                <c:pt idx="2">
                  <c:v>10.7</c:v>
                </c:pt>
                <c:pt idx="3">
                  <c:v>10.8</c:v>
                </c:pt>
                <c:pt idx="4">
                  <c:v>10.9</c:v>
                </c:pt>
                <c:pt idx="5">
                  <c:v>11</c:v>
                </c:pt>
                <c:pt idx="6">
                  <c:v>11.2</c:v>
                </c:pt>
                <c:pt idx="7">
                  <c:v>11.3</c:v>
                </c:pt>
                <c:pt idx="8">
                  <c:v>11.5</c:v>
                </c:pt>
                <c:pt idx="9">
                  <c:v>11.7</c:v>
                </c:pt>
                <c:pt idx="10">
                  <c:v>11.9</c:v>
                </c:pt>
                <c:pt idx="11">
                  <c:v>12</c:v>
                </c:pt>
                <c:pt idx="12">
                  <c:v>12</c:v>
                </c:pt>
                <c:pt idx="13">
                  <c:v>12.1</c:v>
                </c:pt>
                <c:pt idx="14">
                  <c:v>12.1</c:v>
                </c:pt>
                <c:pt idx="15">
                  <c:v>12.3</c:v>
                </c:pt>
                <c:pt idx="16">
                  <c:v>12.3</c:v>
                </c:pt>
                <c:pt idx="17">
                  <c:v>12.4</c:v>
                </c:pt>
                <c:pt idx="18">
                  <c:v>12.5</c:v>
                </c:pt>
                <c:pt idx="19">
                  <c:v>12.6</c:v>
                </c:pt>
                <c:pt idx="20">
                  <c:v>12.8</c:v>
                </c:pt>
                <c:pt idx="21">
                  <c:v>12.9</c:v>
                </c:pt>
                <c:pt idx="22">
                  <c:v>13.1</c:v>
                </c:pt>
                <c:pt idx="23">
                  <c:v>13.2</c:v>
                </c:pt>
                <c:pt idx="24">
                  <c:v>13.3</c:v>
                </c:pt>
                <c:pt idx="25">
                  <c:v>13.4</c:v>
                </c:pt>
                <c:pt idx="26">
                  <c:v>13.6</c:v>
                </c:pt>
                <c:pt idx="27">
                  <c:v>13.8</c:v>
                </c:pt>
                <c:pt idx="28">
                  <c:v>13.8</c:v>
                </c:pt>
                <c:pt idx="29">
                  <c:v>13.9</c:v>
                </c:pt>
                <c:pt idx="30">
                  <c:v>13.9</c:v>
                </c:pt>
                <c:pt idx="31">
                  <c:v>14</c:v>
                </c:pt>
                <c:pt idx="32">
                  <c:v>14</c:v>
                </c:pt>
                <c:pt idx="33">
                  <c:v>14.1</c:v>
                </c:pt>
                <c:pt idx="34">
                  <c:v>14.1</c:v>
                </c:pt>
                <c:pt idx="35">
                  <c:v>14.1</c:v>
                </c:pt>
                <c:pt idx="36">
                  <c:v>14.2</c:v>
                </c:pt>
                <c:pt idx="37">
                  <c:v>14.2</c:v>
                </c:pt>
                <c:pt idx="38">
                  <c:v>14.2</c:v>
                </c:pt>
                <c:pt idx="39">
                  <c:v>14.3</c:v>
                </c:pt>
                <c:pt idx="40">
                  <c:v>14.3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8C5-4269-83D0-AED9ECDD33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3598336"/>
        <c:axId val="123600256"/>
      </c:lineChart>
      <c:catAx>
        <c:axId val="12359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en-US"/>
          </a:p>
        </c:txPr>
        <c:crossAx val="123600256"/>
        <c:crosses val="autoZero"/>
        <c:auto val="1"/>
        <c:lblAlgn val="ctr"/>
        <c:lblOffset val="100"/>
        <c:noMultiLvlLbl val="0"/>
      </c:catAx>
      <c:valAx>
        <c:axId val="123600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23598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322875043251757"/>
          <c:y val="0.23405658871082952"/>
          <c:w val="0.23000346014075923"/>
          <c:h val="0.53188682257834097"/>
        </c:manualLayout>
      </c:layout>
      <c:overlay val="0"/>
      <c:txPr>
        <a:bodyPr/>
        <a:lstStyle/>
        <a:p>
          <a:pPr>
            <a:defRPr sz="600"/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4589024720258314E-2"/>
          <c:y val="3.7449141009399757E-2"/>
          <c:w val="0.64073835617659913"/>
          <c:h val="0.8607932685978098"/>
        </c:manualLayout>
      </c:layout>
      <c:lineChart>
        <c:grouping val="standard"/>
        <c:varyColors val="0"/>
        <c:ser>
          <c:idx val="0"/>
          <c:order val="0"/>
          <c:tx>
            <c:v>Ars pengurasan baterai</c:v>
          </c:tx>
          <c:marker>
            <c:symbol val="none"/>
          </c:marker>
          <c:cat>
            <c:strRef>
              <c:f>Sheet1!$J$21:$J$61</c:f>
              <c:strCache>
                <c:ptCount val="41"/>
                <c:pt idx="0">
                  <c:v>20.00</c:v>
                </c:pt>
                <c:pt idx="1">
                  <c:v>20.15</c:v>
                </c:pt>
                <c:pt idx="2">
                  <c:v>20.30</c:v>
                </c:pt>
                <c:pt idx="3">
                  <c:v>20.45</c:v>
                </c:pt>
                <c:pt idx="4">
                  <c:v>21.00</c:v>
                </c:pt>
                <c:pt idx="5">
                  <c:v>21.15</c:v>
                </c:pt>
                <c:pt idx="6">
                  <c:v>21.30</c:v>
                </c:pt>
                <c:pt idx="7">
                  <c:v>21.45</c:v>
                </c:pt>
                <c:pt idx="8">
                  <c:v>22.00</c:v>
                </c:pt>
                <c:pt idx="9">
                  <c:v>22.15</c:v>
                </c:pt>
                <c:pt idx="10">
                  <c:v>22.30</c:v>
                </c:pt>
                <c:pt idx="11">
                  <c:v>22.45</c:v>
                </c:pt>
                <c:pt idx="12">
                  <c:v>23.00</c:v>
                </c:pt>
                <c:pt idx="13">
                  <c:v>23.15</c:v>
                </c:pt>
                <c:pt idx="14">
                  <c:v>23.30</c:v>
                </c:pt>
                <c:pt idx="15">
                  <c:v>23.45</c:v>
                </c:pt>
                <c:pt idx="16">
                  <c:v>00.00</c:v>
                </c:pt>
                <c:pt idx="17">
                  <c:v>00.15</c:v>
                </c:pt>
                <c:pt idx="18">
                  <c:v>00.30</c:v>
                </c:pt>
                <c:pt idx="19">
                  <c:v>00.45</c:v>
                </c:pt>
                <c:pt idx="20">
                  <c:v>01.00</c:v>
                </c:pt>
                <c:pt idx="21">
                  <c:v>01.15</c:v>
                </c:pt>
                <c:pt idx="22">
                  <c:v>01.30</c:v>
                </c:pt>
                <c:pt idx="23">
                  <c:v>01.45</c:v>
                </c:pt>
                <c:pt idx="24">
                  <c:v>02.00</c:v>
                </c:pt>
                <c:pt idx="25">
                  <c:v>02.15</c:v>
                </c:pt>
                <c:pt idx="26">
                  <c:v>02.30</c:v>
                </c:pt>
                <c:pt idx="27">
                  <c:v>02.45</c:v>
                </c:pt>
                <c:pt idx="28">
                  <c:v>03.00</c:v>
                </c:pt>
                <c:pt idx="29">
                  <c:v>03.15</c:v>
                </c:pt>
                <c:pt idx="30">
                  <c:v>03.30</c:v>
                </c:pt>
                <c:pt idx="31">
                  <c:v>03.45</c:v>
                </c:pt>
                <c:pt idx="32">
                  <c:v>04.00</c:v>
                </c:pt>
                <c:pt idx="33">
                  <c:v>04.15</c:v>
                </c:pt>
                <c:pt idx="34">
                  <c:v>04.30</c:v>
                </c:pt>
                <c:pt idx="35">
                  <c:v>04.45</c:v>
                </c:pt>
                <c:pt idx="36">
                  <c:v>05.00</c:v>
                </c:pt>
                <c:pt idx="37">
                  <c:v>05.15</c:v>
                </c:pt>
                <c:pt idx="38">
                  <c:v>05.30</c:v>
                </c:pt>
                <c:pt idx="39">
                  <c:v>05.45</c:v>
                </c:pt>
                <c:pt idx="40">
                  <c:v>06.00</c:v>
                </c:pt>
              </c:strCache>
            </c:strRef>
          </c:cat>
          <c:val>
            <c:numRef>
              <c:f>Sheet1!$L$21:$L$61</c:f>
              <c:numCache>
                <c:formatCode>General</c:formatCode>
                <c:ptCount val="41"/>
                <c:pt idx="0">
                  <c:v>43.1</c:v>
                </c:pt>
                <c:pt idx="1">
                  <c:v>42.7</c:v>
                </c:pt>
                <c:pt idx="2">
                  <c:v>42.3</c:v>
                </c:pt>
                <c:pt idx="3">
                  <c:v>42.1</c:v>
                </c:pt>
                <c:pt idx="4">
                  <c:v>42.1</c:v>
                </c:pt>
                <c:pt idx="5">
                  <c:v>42</c:v>
                </c:pt>
                <c:pt idx="6">
                  <c:v>42</c:v>
                </c:pt>
                <c:pt idx="7">
                  <c:v>41.8</c:v>
                </c:pt>
                <c:pt idx="8">
                  <c:v>41.7</c:v>
                </c:pt>
                <c:pt idx="9">
                  <c:v>41.7</c:v>
                </c:pt>
                <c:pt idx="10">
                  <c:v>41.5</c:v>
                </c:pt>
                <c:pt idx="11">
                  <c:v>41.3</c:v>
                </c:pt>
                <c:pt idx="12">
                  <c:v>41.2</c:v>
                </c:pt>
                <c:pt idx="13">
                  <c:v>40.4</c:v>
                </c:pt>
                <c:pt idx="14">
                  <c:v>39.9</c:v>
                </c:pt>
                <c:pt idx="15">
                  <c:v>39.9</c:v>
                </c:pt>
                <c:pt idx="16">
                  <c:v>39.700000000000003</c:v>
                </c:pt>
                <c:pt idx="17">
                  <c:v>39.5</c:v>
                </c:pt>
                <c:pt idx="18">
                  <c:v>39.299999999999997</c:v>
                </c:pt>
                <c:pt idx="19">
                  <c:v>39.200000000000003</c:v>
                </c:pt>
                <c:pt idx="20">
                  <c:v>39</c:v>
                </c:pt>
                <c:pt idx="21">
                  <c:v>39</c:v>
                </c:pt>
                <c:pt idx="22">
                  <c:v>38.700000000000003</c:v>
                </c:pt>
                <c:pt idx="23">
                  <c:v>38.5</c:v>
                </c:pt>
                <c:pt idx="24">
                  <c:v>38.200000000000003</c:v>
                </c:pt>
                <c:pt idx="25">
                  <c:v>38.200000000000003</c:v>
                </c:pt>
                <c:pt idx="26">
                  <c:v>38.1</c:v>
                </c:pt>
                <c:pt idx="27">
                  <c:v>38</c:v>
                </c:pt>
                <c:pt idx="28">
                  <c:v>37.9</c:v>
                </c:pt>
                <c:pt idx="29">
                  <c:v>37.4</c:v>
                </c:pt>
                <c:pt idx="30">
                  <c:v>37.299999999999997</c:v>
                </c:pt>
                <c:pt idx="31">
                  <c:v>37.1</c:v>
                </c:pt>
                <c:pt idx="32">
                  <c:v>37.1</c:v>
                </c:pt>
                <c:pt idx="33">
                  <c:v>36.9</c:v>
                </c:pt>
                <c:pt idx="34">
                  <c:v>36.799999999999997</c:v>
                </c:pt>
                <c:pt idx="35">
                  <c:v>36.700000000000003</c:v>
                </c:pt>
                <c:pt idx="36">
                  <c:v>36.700000000000003</c:v>
                </c:pt>
                <c:pt idx="37">
                  <c:v>36.5</c:v>
                </c:pt>
                <c:pt idx="38">
                  <c:v>36.299999999999997</c:v>
                </c:pt>
                <c:pt idx="39">
                  <c:v>36.200000000000003</c:v>
                </c:pt>
                <c:pt idx="40">
                  <c:v>36.200000000000003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8C5-4269-83D0-AED9ECDD3387}"/>
            </c:ext>
          </c:extLst>
        </c:ser>
        <c:ser>
          <c:idx val="1"/>
          <c:order val="1"/>
          <c:tx>
            <c:v>Tegangan baterai</c:v>
          </c:tx>
          <c:marker>
            <c:symbol val="none"/>
          </c:marker>
          <c:cat>
            <c:strRef>
              <c:f>Sheet1!$J$21:$J$61</c:f>
              <c:strCache>
                <c:ptCount val="41"/>
                <c:pt idx="0">
                  <c:v>20.00</c:v>
                </c:pt>
                <c:pt idx="1">
                  <c:v>20.15</c:v>
                </c:pt>
                <c:pt idx="2">
                  <c:v>20.30</c:v>
                </c:pt>
                <c:pt idx="3">
                  <c:v>20.45</c:v>
                </c:pt>
                <c:pt idx="4">
                  <c:v>21.00</c:v>
                </c:pt>
                <c:pt idx="5">
                  <c:v>21.15</c:v>
                </c:pt>
                <c:pt idx="6">
                  <c:v>21.30</c:v>
                </c:pt>
                <c:pt idx="7">
                  <c:v>21.45</c:v>
                </c:pt>
                <c:pt idx="8">
                  <c:v>22.00</c:v>
                </c:pt>
                <c:pt idx="9">
                  <c:v>22.15</c:v>
                </c:pt>
                <c:pt idx="10">
                  <c:v>22.30</c:v>
                </c:pt>
                <c:pt idx="11">
                  <c:v>22.45</c:v>
                </c:pt>
                <c:pt idx="12">
                  <c:v>23.00</c:v>
                </c:pt>
                <c:pt idx="13">
                  <c:v>23.15</c:v>
                </c:pt>
                <c:pt idx="14">
                  <c:v>23.30</c:v>
                </c:pt>
                <c:pt idx="15">
                  <c:v>23.45</c:v>
                </c:pt>
                <c:pt idx="16">
                  <c:v>00.00</c:v>
                </c:pt>
                <c:pt idx="17">
                  <c:v>00.15</c:v>
                </c:pt>
                <c:pt idx="18">
                  <c:v>00.30</c:v>
                </c:pt>
                <c:pt idx="19">
                  <c:v>00.45</c:v>
                </c:pt>
                <c:pt idx="20">
                  <c:v>01.00</c:v>
                </c:pt>
                <c:pt idx="21">
                  <c:v>01.15</c:v>
                </c:pt>
                <c:pt idx="22">
                  <c:v>01.30</c:v>
                </c:pt>
                <c:pt idx="23">
                  <c:v>01.45</c:v>
                </c:pt>
                <c:pt idx="24">
                  <c:v>02.00</c:v>
                </c:pt>
                <c:pt idx="25">
                  <c:v>02.15</c:v>
                </c:pt>
                <c:pt idx="26">
                  <c:v>02.30</c:v>
                </c:pt>
                <c:pt idx="27">
                  <c:v>02.45</c:v>
                </c:pt>
                <c:pt idx="28">
                  <c:v>03.00</c:v>
                </c:pt>
                <c:pt idx="29">
                  <c:v>03.15</c:v>
                </c:pt>
                <c:pt idx="30">
                  <c:v>03.30</c:v>
                </c:pt>
                <c:pt idx="31">
                  <c:v>03.45</c:v>
                </c:pt>
                <c:pt idx="32">
                  <c:v>04.00</c:v>
                </c:pt>
                <c:pt idx="33">
                  <c:v>04.15</c:v>
                </c:pt>
                <c:pt idx="34">
                  <c:v>04.30</c:v>
                </c:pt>
                <c:pt idx="35">
                  <c:v>04.45</c:v>
                </c:pt>
                <c:pt idx="36">
                  <c:v>05.00</c:v>
                </c:pt>
                <c:pt idx="37">
                  <c:v>05.15</c:v>
                </c:pt>
                <c:pt idx="38">
                  <c:v>05.30</c:v>
                </c:pt>
                <c:pt idx="39">
                  <c:v>05.45</c:v>
                </c:pt>
                <c:pt idx="40">
                  <c:v>06.00</c:v>
                </c:pt>
              </c:strCache>
            </c:strRef>
          </c:cat>
          <c:val>
            <c:numRef>
              <c:f>Sheet1!$K$21:$K$61</c:f>
              <c:numCache>
                <c:formatCode>General</c:formatCode>
                <c:ptCount val="41"/>
                <c:pt idx="0">
                  <c:v>14.5</c:v>
                </c:pt>
                <c:pt idx="1">
                  <c:v>14.5</c:v>
                </c:pt>
                <c:pt idx="2">
                  <c:v>14.5</c:v>
                </c:pt>
                <c:pt idx="3">
                  <c:v>14.3</c:v>
                </c:pt>
                <c:pt idx="4">
                  <c:v>14.3</c:v>
                </c:pt>
                <c:pt idx="5">
                  <c:v>14.2</c:v>
                </c:pt>
                <c:pt idx="6">
                  <c:v>14.1</c:v>
                </c:pt>
                <c:pt idx="7">
                  <c:v>14</c:v>
                </c:pt>
                <c:pt idx="8">
                  <c:v>14</c:v>
                </c:pt>
                <c:pt idx="9">
                  <c:v>13.8</c:v>
                </c:pt>
                <c:pt idx="10">
                  <c:v>13.7</c:v>
                </c:pt>
                <c:pt idx="11">
                  <c:v>13.6</c:v>
                </c:pt>
                <c:pt idx="12">
                  <c:v>13.5</c:v>
                </c:pt>
                <c:pt idx="13">
                  <c:v>13.4</c:v>
                </c:pt>
                <c:pt idx="14">
                  <c:v>13.4</c:v>
                </c:pt>
                <c:pt idx="15">
                  <c:v>13.3</c:v>
                </c:pt>
                <c:pt idx="16">
                  <c:v>13.2</c:v>
                </c:pt>
                <c:pt idx="17">
                  <c:v>13.1</c:v>
                </c:pt>
                <c:pt idx="18">
                  <c:v>12.9</c:v>
                </c:pt>
                <c:pt idx="19">
                  <c:v>12.8</c:v>
                </c:pt>
                <c:pt idx="20">
                  <c:v>12.7</c:v>
                </c:pt>
                <c:pt idx="21">
                  <c:v>12.7</c:v>
                </c:pt>
                <c:pt idx="22">
                  <c:v>12.6</c:v>
                </c:pt>
                <c:pt idx="23">
                  <c:v>12.4</c:v>
                </c:pt>
                <c:pt idx="24">
                  <c:v>12.3</c:v>
                </c:pt>
                <c:pt idx="25">
                  <c:v>12.2</c:v>
                </c:pt>
                <c:pt idx="26">
                  <c:v>12.2</c:v>
                </c:pt>
                <c:pt idx="27">
                  <c:v>12.1</c:v>
                </c:pt>
                <c:pt idx="28">
                  <c:v>11.9</c:v>
                </c:pt>
                <c:pt idx="29">
                  <c:v>11.7</c:v>
                </c:pt>
                <c:pt idx="30">
                  <c:v>11.7</c:v>
                </c:pt>
                <c:pt idx="31">
                  <c:v>11.6</c:v>
                </c:pt>
                <c:pt idx="32">
                  <c:v>11.5</c:v>
                </c:pt>
                <c:pt idx="33">
                  <c:v>11.4</c:v>
                </c:pt>
                <c:pt idx="34">
                  <c:v>11.3</c:v>
                </c:pt>
                <c:pt idx="35">
                  <c:v>11.3</c:v>
                </c:pt>
                <c:pt idx="36">
                  <c:v>11.1</c:v>
                </c:pt>
                <c:pt idx="37">
                  <c:v>11</c:v>
                </c:pt>
                <c:pt idx="38">
                  <c:v>10.8</c:v>
                </c:pt>
                <c:pt idx="39">
                  <c:v>10.7</c:v>
                </c:pt>
                <c:pt idx="40">
                  <c:v>10.6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8C5-4269-83D0-AED9ECDD33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286272"/>
        <c:axId val="165289344"/>
      </c:lineChart>
      <c:catAx>
        <c:axId val="165286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en-US"/>
          </a:p>
        </c:txPr>
        <c:crossAx val="165289344"/>
        <c:crosses val="autoZero"/>
        <c:auto val="1"/>
        <c:lblAlgn val="ctr"/>
        <c:lblOffset val="100"/>
        <c:noMultiLvlLbl val="0"/>
      </c:catAx>
      <c:valAx>
        <c:axId val="165289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65286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196689881488484"/>
          <c:y val="0.19641290136959641"/>
          <c:w val="0.27897307853505854"/>
          <c:h val="0.58567953052080191"/>
        </c:manualLayout>
      </c:layout>
      <c:overlay val="0"/>
      <c:txPr>
        <a:bodyPr/>
        <a:lstStyle/>
        <a:p>
          <a:pPr>
            <a:defRPr sz="700"/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468</Words>
  <Characters>2977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5</cp:revision>
  <cp:lastPrinted>2021-08-23T05:28:00Z</cp:lastPrinted>
  <dcterms:created xsi:type="dcterms:W3CDTF">2021-08-19T02:32:00Z</dcterms:created>
  <dcterms:modified xsi:type="dcterms:W3CDTF">2021-08-23T07:38:00Z</dcterms:modified>
</cp:coreProperties>
</file>